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8" w:rightChars="-23"/>
        <w:jc w:val="center"/>
        <w:rPr>
          <w:b/>
          <w:sz w:val="48"/>
          <w:szCs w:val="48"/>
        </w:rPr>
      </w:pPr>
      <w:r>
        <w:rPr>
          <w:rFonts w:hint="eastAsia" w:ascii="文鼎大标宋简" w:hAnsi="华文中宋" w:eastAsia="文鼎大标宋简"/>
          <w:b/>
          <w:spacing w:val="4"/>
          <w:w w:val="90"/>
          <w:sz w:val="52"/>
          <w:szCs w:val="52"/>
        </w:rPr>
        <w:t>中国重汽集团济南</w:t>
      </w:r>
      <w:r>
        <w:rPr>
          <w:rFonts w:hint="eastAsia" w:ascii="文鼎大标宋简" w:hAnsi="华文中宋" w:eastAsia="文鼎大标宋简"/>
          <w:b/>
          <w:spacing w:val="4"/>
          <w:w w:val="90"/>
          <w:sz w:val="52"/>
          <w:szCs w:val="52"/>
          <w:lang w:val="en-US" w:eastAsia="zh-CN"/>
        </w:rPr>
        <w:t>变速箱厂总成架改制</w:t>
      </w:r>
      <w:r>
        <w:rPr>
          <w:rFonts w:hint="eastAsia"/>
          <w:b/>
          <w:sz w:val="48"/>
          <w:szCs w:val="48"/>
        </w:rPr>
        <w:t>项目</w:t>
      </w:r>
    </w:p>
    <w:p>
      <w:pPr>
        <w:ind w:right="-172" w:rightChars="-82"/>
        <w:jc w:val="center"/>
        <w:rPr>
          <w:rFonts w:ascii="文鼎大标宋简" w:hAnsi="华文中宋" w:eastAsia="文鼎大标宋简"/>
          <w:b/>
          <w:spacing w:val="4"/>
          <w:w w:val="90"/>
          <w:sz w:val="52"/>
          <w:szCs w:val="52"/>
        </w:rPr>
      </w:pPr>
    </w:p>
    <w:p>
      <w:pPr>
        <w:jc w:val="center"/>
        <w:rPr>
          <w:rFonts w:ascii="文鼎大标宋简" w:hAnsi="华文中宋" w:eastAsia="文鼎大标宋简"/>
          <w:spacing w:val="4"/>
          <w:w w:val="90"/>
          <w:sz w:val="71"/>
          <w:szCs w:val="71"/>
        </w:rPr>
      </w:pPr>
    </w:p>
    <w:p>
      <w:pPr>
        <w:jc w:val="center"/>
        <w:rPr>
          <w:rFonts w:ascii="宋体"/>
          <w:b/>
          <w:sz w:val="96"/>
          <w:szCs w:val="96"/>
        </w:rPr>
      </w:pPr>
      <w:r>
        <w:rPr>
          <w:rFonts w:hint="eastAsia" w:ascii="宋体" w:hAnsi="宋体"/>
          <w:b/>
          <w:sz w:val="96"/>
          <w:szCs w:val="96"/>
        </w:rPr>
        <w:t>招标文件</w:t>
      </w:r>
    </w:p>
    <w:p>
      <w:pPr>
        <w:spacing w:before="120" w:beforeLines="50" w:line="360" w:lineRule="auto"/>
        <w:jc w:val="center"/>
        <w:rPr>
          <w:rFonts w:ascii="黑体" w:eastAsia="黑体"/>
          <w:sz w:val="48"/>
          <w:szCs w:val="48"/>
        </w:rPr>
      </w:pPr>
      <w:r>
        <w:rPr>
          <w:rFonts w:hint="eastAsia" w:ascii="黑体" w:eastAsia="黑体"/>
          <w:sz w:val="48"/>
          <w:szCs w:val="48"/>
        </w:rPr>
        <w:t>（第二卷）</w:t>
      </w:r>
    </w:p>
    <w:p>
      <w:pPr>
        <w:spacing w:line="360" w:lineRule="auto"/>
        <w:jc w:val="center"/>
        <w:rPr>
          <w:rFonts w:ascii="黑体" w:eastAsia="黑体"/>
          <w:sz w:val="48"/>
          <w:szCs w:val="48"/>
        </w:rPr>
      </w:pPr>
    </w:p>
    <w:p>
      <w:pPr>
        <w:jc w:val="center"/>
      </w:pPr>
      <w:r>
        <w:rPr>
          <w:rFonts w:hint="eastAsia" w:ascii="黑体" w:eastAsia="黑体"/>
          <w:b/>
          <w:sz w:val="28"/>
        </w:rPr>
        <w:t>招标编号：</w:t>
      </w:r>
    </w:p>
    <w:p>
      <w:pPr>
        <w:spacing w:line="360" w:lineRule="auto"/>
        <w:ind w:firstLine="1687" w:firstLineChars="600"/>
        <w:rPr>
          <w:rFonts w:ascii="黑体" w:eastAsia="黑体"/>
          <w:b/>
          <w:sz w:val="28"/>
        </w:rPr>
      </w:pPr>
    </w:p>
    <w:p>
      <w:pPr>
        <w:spacing w:before="240"/>
        <w:rPr>
          <w:rFonts w:ascii="隶书" w:hAnsi="宋体" w:eastAsia="隶书"/>
          <w:sz w:val="56"/>
          <w:szCs w:val="48"/>
        </w:rPr>
      </w:pPr>
    </w:p>
    <w:p>
      <w:pPr>
        <w:spacing w:before="240"/>
        <w:rPr>
          <w:rFonts w:ascii="隶书" w:hAnsi="宋体" w:eastAsia="隶书"/>
          <w:sz w:val="56"/>
          <w:szCs w:val="48"/>
        </w:rPr>
      </w:pPr>
    </w:p>
    <w:p>
      <w:pPr>
        <w:spacing w:before="240"/>
        <w:rPr>
          <w:rFonts w:ascii="隶书" w:hAnsi="宋体" w:eastAsia="隶书"/>
          <w:sz w:val="56"/>
          <w:szCs w:val="48"/>
        </w:rPr>
      </w:pPr>
    </w:p>
    <w:p>
      <w:pPr>
        <w:spacing w:before="240"/>
        <w:rPr>
          <w:rFonts w:ascii="隶书" w:hAnsi="宋体" w:eastAsia="隶书"/>
          <w:sz w:val="56"/>
          <w:szCs w:val="48"/>
        </w:rPr>
      </w:pPr>
    </w:p>
    <w:p>
      <w:pPr>
        <w:spacing w:before="240"/>
        <w:rPr>
          <w:rFonts w:ascii="隶书" w:hAnsi="宋体" w:eastAsia="隶书"/>
          <w:sz w:val="56"/>
          <w:szCs w:val="48"/>
        </w:rPr>
      </w:pPr>
    </w:p>
    <w:p>
      <w:pPr>
        <w:spacing w:line="360" w:lineRule="auto"/>
        <w:ind w:firstLine="1960" w:firstLineChars="700"/>
        <w:rPr>
          <w:rFonts w:ascii="黑体" w:eastAsia="黑体"/>
          <w:sz w:val="28"/>
        </w:rPr>
      </w:pPr>
      <w:r>
        <w:rPr>
          <w:rFonts w:hint="eastAsia" w:ascii="黑体" w:eastAsia="黑体"/>
          <w:sz w:val="28"/>
        </w:rPr>
        <w:t>招标人：中国重汽集团济南动力有限公司</w:t>
      </w:r>
    </w:p>
    <w:p>
      <w:pPr>
        <w:spacing w:line="360" w:lineRule="auto"/>
        <w:jc w:val="center"/>
        <w:rPr>
          <w:rFonts w:ascii="黑体" w:eastAsia="黑体"/>
          <w:sz w:val="28"/>
        </w:rPr>
      </w:pPr>
      <w:r>
        <w:rPr>
          <w:rFonts w:ascii="黑体" w:eastAsia="黑体"/>
          <w:sz w:val="28"/>
        </w:rPr>
        <w:t>202</w:t>
      </w:r>
      <w:r>
        <w:rPr>
          <w:rFonts w:hint="eastAsia" w:ascii="黑体" w:eastAsia="黑体"/>
          <w:sz w:val="28"/>
          <w:lang w:val="en-US" w:eastAsia="zh-CN"/>
        </w:rPr>
        <w:t>3</w:t>
      </w:r>
      <w:r>
        <w:rPr>
          <w:rFonts w:hint="eastAsia" w:ascii="黑体" w:eastAsia="黑体"/>
          <w:sz w:val="28"/>
        </w:rPr>
        <w:t>年</w:t>
      </w:r>
      <w:r>
        <w:rPr>
          <w:rFonts w:hint="eastAsia" w:ascii="黑体" w:eastAsia="黑体"/>
          <w:sz w:val="28"/>
          <w:lang w:val="en-US" w:eastAsia="zh-CN"/>
        </w:rPr>
        <w:t>4</w:t>
      </w:r>
      <w:r>
        <w:rPr>
          <w:rFonts w:hint="eastAsia" w:ascii="黑体" w:eastAsia="黑体"/>
          <w:sz w:val="28"/>
        </w:rPr>
        <w:t>月</w:t>
      </w:r>
    </w:p>
    <w:p>
      <w:pPr>
        <w:pStyle w:val="57"/>
        <w:spacing w:before="0"/>
        <w:jc w:val="center"/>
        <w:rPr>
          <w:color w:val="auto"/>
          <w:sz w:val="32"/>
          <w:szCs w:val="32"/>
          <w:lang w:val="zh-CN"/>
        </w:rPr>
      </w:pPr>
      <w:r>
        <w:rPr>
          <w:rFonts w:hint="eastAsia"/>
          <w:color w:val="auto"/>
          <w:sz w:val="32"/>
          <w:szCs w:val="32"/>
          <w:lang w:val="zh-CN"/>
        </w:rPr>
        <w:t>目录</w:t>
      </w:r>
    </w:p>
    <w:p>
      <w:pPr>
        <w:rPr>
          <w:lang w:val="zh-CN"/>
        </w:rPr>
      </w:pPr>
    </w:p>
    <w:p>
      <w:pPr>
        <w:pStyle w:val="27"/>
        <w:tabs>
          <w:tab w:val="right" w:leader="dot" w:pos="8155"/>
        </w:tabs>
        <w:rPr>
          <w:rFonts w:ascii="Calibri" w:hAnsi="Calibri"/>
          <w:kern w:val="2"/>
          <w:sz w:val="21"/>
          <w:szCs w:val="22"/>
        </w:rPr>
      </w:pPr>
      <w:r>
        <w:fldChar w:fldCharType="begin"/>
      </w:r>
      <w:r>
        <w:instrText xml:space="preserve"> TOC \o "1-3" \h \z \u </w:instrText>
      </w:r>
      <w:r>
        <w:fldChar w:fldCharType="separate"/>
      </w:r>
      <w:r>
        <w:fldChar w:fldCharType="begin"/>
      </w:r>
      <w:r>
        <w:instrText xml:space="preserve"> HYPERLINK \l "_Toc525135785" </w:instrText>
      </w:r>
      <w:r>
        <w:fldChar w:fldCharType="separate"/>
      </w:r>
      <w:r>
        <w:rPr>
          <w:rStyle w:val="42"/>
          <w:rFonts w:hint="eastAsia" w:ascii="黑体" w:eastAsia="黑体"/>
          <w:color w:val="auto"/>
        </w:rPr>
        <w:t>第二卷</w:t>
      </w:r>
      <w:r>
        <w:tab/>
      </w:r>
      <w:r>
        <w:fldChar w:fldCharType="begin"/>
      </w:r>
      <w:r>
        <w:instrText xml:space="preserve"> PAGEREF _Toc525135785 \h </w:instrText>
      </w:r>
      <w:r>
        <w:fldChar w:fldCharType="separate"/>
      </w:r>
      <w:r>
        <w:t>2</w:t>
      </w:r>
      <w:r>
        <w:fldChar w:fldCharType="end"/>
      </w:r>
      <w:r>
        <w:fldChar w:fldCharType="end"/>
      </w:r>
    </w:p>
    <w:p>
      <w:pPr>
        <w:pStyle w:val="27"/>
        <w:tabs>
          <w:tab w:val="right" w:leader="dot" w:pos="8155"/>
        </w:tabs>
        <w:rPr>
          <w:rFonts w:ascii="Calibri" w:hAnsi="Calibri"/>
          <w:kern w:val="2"/>
          <w:sz w:val="21"/>
          <w:szCs w:val="22"/>
        </w:rPr>
      </w:pPr>
      <w:r>
        <w:fldChar w:fldCharType="begin"/>
      </w:r>
      <w:r>
        <w:instrText xml:space="preserve"> HYPERLINK \l "_Toc525135786" </w:instrText>
      </w:r>
      <w:r>
        <w:fldChar w:fldCharType="separate"/>
      </w:r>
      <w:r>
        <w:rPr>
          <w:rStyle w:val="42"/>
          <w:rFonts w:hint="eastAsia" w:ascii="黑体" w:eastAsia="黑体"/>
          <w:color w:val="auto"/>
        </w:rPr>
        <w:t>第四章投标邀请</w:t>
      </w:r>
      <w:r>
        <w:tab/>
      </w:r>
      <w:r>
        <w:fldChar w:fldCharType="begin"/>
      </w:r>
      <w:r>
        <w:instrText xml:space="preserve"> PAGEREF _Toc525135786 \h </w:instrText>
      </w:r>
      <w:r>
        <w:fldChar w:fldCharType="separate"/>
      </w:r>
      <w:r>
        <w:t>2</w:t>
      </w:r>
      <w:r>
        <w:fldChar w:fldCharType="end"/>
      </w:r>
      <w:r>
        <w:fldChar w:fldCharType="end"/>
      </w:r>
    </w:p>
    <w:p>
      <w:pPr>
        <w:pStyle w:val="27"/>
        <w:tabs>
          <w:tab w:val="right" w:leader="dot" w:pos="8155"/>
        </w:tabs>
        <w:rPr>
          <w:rFonts w:ascii="Calibri" w:hAnsi="Calibri"/>
          <w:kern w:val="2"/>
          <w:sz w:val="21"/>
          <w:szCs w:val="22"/>
        </w:rPr>
      </w:pPr>
      <w:r>
        <w:fldChar w:fldCharType="begin"/>
      </w:r>
      <w:r>
        <w:instrText xml:space="preserve"> HYPERLINK \l "_Toc525135787" </w:instrText>
      </w:r>
      <w:r>
        <w:fldChar w:fldCharType="separate"/>
      </w:r>
      <w:r>
        <w:rPr>
          <w:rStyle w:val="42"/>
          <w:rFonts w:hint="eastAsia" w:ascii="黑体" w:eastAsia="黑体"/>
          <w:color w:val="auto"/>
        </w:rPr>
        <w:t>第五章投标资料表</w:t>
      </w:r>
      <w:r>
        <w:tab/>
      </w:r>
      <w:r>
        <w:fldChar w:fldCharType="begin"/>
      </w:r>
      <w:r>
        <w:instrText xml:space="preserve"> PAGEREF _Toc525135787 \h </w:instrText>
      </w:r>
      <w:r>
        <w:fldChar w:fldCharType="separate"/>
      </w:r>
      <w:r>
        <w:t>4</w:t>
      </w:r>
      <w:r>
        <w:fldChar w:fldCharType="end"/>
      </w:r>
      <w:r>
        <w:fldChar w:fldCharType="end"/>
      </w:r>
    </w:p>
    <w:p>
      <w:pPr>
        <w:pStyle w:val="27"/>
        <w:tabs>
          <w:tab w:val="right" w:leader="dot" w:pos="8155"/>
        </w:tabs>
        <w:rPr>
          <w:rFonts w:ascii="Calibri" w:hAnsi="Calibri"/>
          <w:kern w:val="2"/>
          <w:sz w:val="21"/>
          <w:szCs w:val="22"/>
        </w:rPr>
      </w:pPr>
      <w:r>
        <w:fldChar w:fldCharType="begin"/>
      </w:r>
      <w:r>
        <w:instrText xml:space="preserve"> HYPERLINK \l "_Toc525135788" </w:instrText>
      </w:r>
      <w:r>
        <w:fldChar w:fldCharType="separate"/>
      </w:r>
      <w:r>
        <w:rPr>
          <w:rStyle w:val="42"/>
          <w:rFonts w:hint="eastAsia" w:ascii="黑体" w:eastAsia="黑体"/>
          <w:color w:val="auto"/>
        </w:rPr>
        <w:t>第六章合同资料表</w:t>
      </w:r>
      <w:r>
        <w:tab/>
      </w:r>
      <w:r>
        <w:rPr>
          <w:rFonts w:hint="eastAsia"/>
          <w:lang w:val="en-US" w:eastAsia="zh-CN"/>
        </w:rPr>
        <w:t>7</w:t>
      </w:r>
      <w:r>
        <w:fldChar w:fldCharType="end"/>
      </w:r>
    </w:p>
    <w:p>
      <w:pPr>
        <w:pStyle w:val="27"/>
        <w:tabs>
          <w:tab w:val="right" w:leader="dot" w:pos="8155"/>
        </w:tabs>
        <w:rPr>
          <w:rFonts w:ascii="Calibri" w:hAnsi="Calibri"/>
          <w:kern w:val="2"/>
          <w:sz w:val="21"/>
          <w:szCs w:val="22"/>
        </w:rPr>
      </w:pPr>
      <w:r>
        <w:fldChar w:fldCharType="begin"/>
      </w:r>
      <w:r>
        <w:instrText xml:space="preserve"> HYPERLINK \l "_Toc525135789" </w:instrText>
      </w:r>
      <w:r>
        <w:fldChar w:fldCharType="separate"/>
      </w:r>
      <w:r>
        <w:rPr>
          <w:rStyle w:val="42"/>
          <w:rFonts w:hint="eastAsia" w:ascii="黑体" w:eastAsia="黑体"/>
          <w:color w:val="auto"/>
        </w:rPr>
        <w:t>第七章货物需求一览表及技术规格</w:t>
      </w:r>
      <w:r>
        <w:tab/>
      </w:r>
      <w:r>
        <w:rPr>
          <w:rFonts w:hint="eastAsia"/>
          <w:lang w:val="en-US" w:eastAsia="zh-CN"/>
        </w:rPr>
        <w:t>8</w:t>
      </w:r>
      <w:r>
        <w:fldChar w:fldCharType="end"/>
      </w:r>
    </w:p>
    <w:p>
      <w:r>
        <w:fldChar w:fldCharType="end"/>
      </w:r>
    </w:p>
    <w:p>
      <w:pPr>
        <w:spacing w:line="360" w:lineRule="atLeast"/>
        <w:jc w:val="center"/>
        <w:rPr>
          <w:rFonts w:ascii="黑体" w:eastAsia="黑体"/>
          <w:sz w:val="30"/>
        </w:rPr>
        <w:sectPr>
          <w:headerReference r:id="rId4" w:type="first"/>
          <w:headerReference r:id="rId3" w:type="default"/>
          <w:footerReference r:id="rId5" w:type="default"/>
          <w:pgSz w:w="11907" w:h="16840"/>
          <w:pgMar w:top="1701" w:right="1871" w:bottom="1588" w:left="1871" w:header="851" w:footer="851" w:gutter="0"/>
          <w:pgNumType w:start="0"/>
          <w:cols w:space="720" w:num="1"/>
          <w:titlePg/>
          <w:docGrid w:linePitch="326" w:charSpace="0"/>
        </w:sectPr>
      </w:pPr>
    </w:p>
    <w:p>
      <w:pPr>
        <w:spacing w:line="240" w:lineRule="exact"/>
        <w:jc w:val="center"/>
        <w:rPr>
          <w:rFonts w:eastAsia="黑体"/>
          <w:b/>
          <w:sz w:val="11"/>
          <w:szCs w:val="11"/>
        </w:rPr>
      </w:pPr>
    </w:p>
    <w:p>
      <w:pPr>
        <w:pStyle w:val="2"/>
        <w:numPr>
          <w:ilvl w:val="0"/>
          <w:numId w:val="0"/>
        </w:numPr>
        <w:jc w:val="center"/>
        <w:rPr>
          <w:rFonts w:ascii="黑体" w:eastAsia="黑体"/>
          <w:sz w:val="36"/>
          <w:szCs w:val="36"/>
        </w:rPr>
      </w:pPr>
      <w:bookmarkStart w:id="0" w:name="_Toc525135785"/>
      <w:r>
        <w:rPr>
          <w:rFonts w:hint="eastAsia" w:ascii="黑体" w:eastAsia="黑体"/>
          <w:sz w:val="36"/>
          <w:szCs w:val="36"/>
        </w:rPr>
        <w:t>第二卷</w:t>
      </w:r>
      <w:bookmarkEnd w:id="0"/>
    </w:p>
    <w:p>
      <w:pPr>
        <w:pStyle w:val="2"/>
        <w:numPr>
          <w:ilvl w:val="0"/>
          <w:numId w:val="0"/>
        </w:numPr>
        <w:jc w:val="center"/>
        <w:rPr>
          <w:rFonts w:ascii="黑体" w:eastAsia="黑体"/>
          <w:sz w:val="30"/>
        </w:rPr>
      </w:pPr>
      <w:bookmarkStart w:id="1" w:name="_Toc525135786"/>
      <w:bookmarkStart w:id="2" w:name="_Toc511372610"/>
      <w:r>
        <w:rPr>
          <w:rFonts w:hint="eastAsia" w:ascii="黑体" w:eastAsia="黑体"/>
          <w:sz w:val="30"/>
        </w:rPr>
        <w:t>第四章投标邀请</w:t>
      </w:r>
      <w:bookmarkEnd w:id="1"/>
      <w:bookmarkEnd w:id="2"/>
    </w:p>
    <w:p>
      <w:pPr>
        <w:ind w:right="-172" w:rightChars="-82" w:firstLine="480" w:firstLineChars="200"/>
        <w:jc w:val="left"/>
        <w:rPr>
          <w:sz w:val="24"/>
          <w:szCs w:val="24"/>
        </w:rPr>
      </w:pPr>
      <w:bookmarkStart w:id="3" w:name="_Toc511372611"/>
      <w:r>
        <w:rPr>
          <w:rFonts w:hint="eastAsia"/>
          <w:sz w:val="24"/>
          <w:szCs w:val="24"/>
        </w:rPr>
        <w:t>中国重汽集团济南</w:t>
      </w:r>
      <w:r>
        <w:rPr>
          <w:rFonts w:hint="eastAsia"/>
          <w:sz w:val="24"/>
          <w:szCs w:val="24"/>
          <w:lang w:val="en-US" w:eastAsia="zh-CN"/>
        </w:rPr>
        <w:t>变速箱厂总成架改制（提高支撑）</w:t>
      </w:r>
      <w:r>
        <w:rPr>
          <w:rFonts w:hint="eastAsia"/>
          <w:sz w:val="24"/>
          <w:szCs w:val="24"/>
        </w:rPr>
        <w:t>项目进行公开招标采购，现</w:t>
      </w:r>
      <w:r>
        <w:rPr>
          <w:sz w:val="24"/>
          <w:szCs w:val="24"/>
        </w:rPr>
        <w:t>诚挚邀请</w:t>
      </w:r>
      <w:r>
        <w:rPr>
          <w:rFonts w:hint="eastAsia"/>
          <w:sz w:val="24"/>
          <w:szCs w:val="24"/>
        </w:rPr>
        <w:t>具备</w:t>
      </w:r>
      <w:r>
        <w:rPr>
          <w:sz w:val="24"/>
          <w:szCs w:val="24"/>
        </w:rPr>
        <w:t>资质、</w:t>
      </w:r>
      <w:r>
        <w:rPr>
          <w:rFonts w:hint="eastAsia"/>
          <w:sz w:val="24"/>
          <w:szCs w:val="24"/>
        </w:rPr>
        <w:t>诚意</w:t>
      </w:r>
      <w:r>
        <w:rPr>
          <w:sz w:val="24"/>
          <w:szCs w:val="24"/>
        </w:rPr>
        <w:t>合作的公司</w:t>
      </w:r>
      <w:r>
        <w:rPr>
          <w:rFonts w:hint="eastAsia"/>
          <w:sz w:val="24"/>
          <w:szCs w:val="24"/>
        </w:rPr>
        <w:t>参加</w:t>
      </w:r>
      <w:r>
        <w:rPr>
          <w:sz w:val="24"/>
          <w:szCs w:val="24"/>
        </w:rPr>
        <w:t>投标</w:t>
      </w:r>
      <w:r>
        <w:rPr>
          <w:rFonts w:hint="eastAsia"/>
          <w:sz w:val="24"/>
          <w:szCs w:val="24"/>
        </w:rPr>
        <w:t>。</w:t>
      </w:r>
    </w:p>
    <w:p>
      <w:pPr>
        <w:spacing w:line="480" w:lineRule="exact"/>
        <w:ind w:firstLine="480" w:firstLineChars="200"/>
        <w:rPr>
          <w:sz w:val="24"/>
          <w:szCs w:val="24"/>
        </w:rPr>
      </w:pPr>
      <w:r>
        <w:rPr>
          <w:sz w:val="24"/>
          <w:szCs w:val="24"/>
        </w:rPr>
        <w:t>1</w:t>
      </w:r>
      <w:r>
        <w:rPr>
          <w:rFonts w:hint="eastAsia"/>
          <w:sz w:val="24"/>
          <w:szCs w:val="24"/>
        </w:rPr>
        <w:t>、招标编号：</w:t>
      </w:r>
    </w:p>
    <w:p>
      <w:pPr>
        <w:spacing w:line="480" w:lineRule="exact"/>
        <w:ind w:firstLine="480" w:firstLineChars="200"/>
        <w:rPr>
          <w:sz w:val="24"/>
          <w:szCs w:val="24"/>
        </w:rPr>
      </w:pPr>
      <w:r>
        <w:rPr>
          <w:sz w:val="24"/>
          <w:szCs w:val="24"/>
        </w:rPr>
        <w:t>2</w:t>
      </w:r>
      <w:r>
        <w:rPr>
          <w:rFonts w:hint="eastAsia"/>
          <w:sz w:val="24"/>
          <w:szCs w:val="24"/>
        </w:rPr>
        <w:t>、招标内容、数量：</w:t>
      </w:r>
    </w:p>
    <w:p>
      <w:pPr>
        <w:spacing w:line="480" w:lineRule="exact"/>
        <w:ind w:firstLine="480" w:firstLineChars="200"/>
        <w:rPr>
          <w:sz w:val="24"/>
          <w:szCs w:val="21"/>
        </w:rPr>
      </w:pPr>
      <w:r>
        <w:rPr>
          <w:rFonts w:hint="eastAsia"/>
          <w:sz w:val="24"/>
          <w:szCs w:val="21"/>
        </w:rPr>
        <w:t>本项目包括</w:t>
      </w:r>
      <w:r>
        <w:rPr>
          <w:rFonts w:hint="eastAsia" w:ascii="宋体" w:hAnsi="宋体"/>
          <w:sz w:val="24"/>
          <w:szCs w:val="24"/>
        </w:rPr>
        <w:t>中国重汽集团</w:t>
      </w:r>
      <w:r>
        <w:rPr>
          <w:rFonts w:hint="eastAsia"/>
          <w:sz w:val="24"/>
          <w:szCs w:val="21"/>
        </w:rPr>
        <w:t>变速箱厂</w:t>
      </w:r>
      <w:r>
        <w:rPr>
          <w:rFonts w:hint="eastAsia"/>
          <w:sz w:val="24"/>
          <w:szCs w:val="21"/>
          <w:lang w:val="en-US" w:eastAsia="zh-CN"/>
        </w:rPr>
        <w:t>总成架改制（支撑提高）</w:t>
      </w:r>
      <w:r>
        <w:rPr>
          <w:rFonts w:hint="eastAsia"/>
          <w:sz w:val="24"/>
          <w:szCs w:val="24"/>
        </w:rPr>
        <w:t>采</w:t>
      </w:r>
      <w:r>
        <w:rPr>
          <w:rFonts w:hint="eastAsia"/>
          <w:sz w:val="24"/>
          <w:szCs w:val="21"/>
        </w:rPr>
        <w:t>购。</w:t>
      </w:r>
      <w:r>
        <w:rPr>
          <w:sz w:val="24"/>
          <w:szCs w:val="21"/>
        </w:rPr>
        <w:t>招标范围如下表所示</w:t>
      </w:r>
      <w:r>
        <w:rPr>
          <w:rFonts w:hint="eastAsia"/>
          <w:sz w:val="24"/>
          <w:szCs w:val="21"/>
        </w:rPr>
        <w:t>，</w:t>
      </w:r>
      <w:r>
        <w:rPr>
          <w:sz w:val="24"/>
          <w:szCs w:val="21"/>
        </w:rPr>
        <w:t>具体内容见第七章</w:t>
      </w:r>
      <w:r>
        <w:rPr>
          <w:rFonts w:hint="eastAsia"/>
          <w:sz w:val="24"/>
          <w:szCs w:val="21"/>
        </w:rPr>
        <w:t>。</w:t>
      </w:r>
    </w:p>
    <w:tbl>
      <w:tblPr>
        <w:tblStyle w:val="37"/>
        <w:tblW w:w="8381" w:type="dxa"/>
        <w:jc w:val="center"/>
        <w:tblLayout w:type="fixed"/>
        <w:tblCellMar>
          <w:top w:w="0" w:type="dxa"/>
          <w:left w:w="108" w:type="dxa"/>
          <w:bottom w:w="0" w:type="dxa"/>
          <w:right w:w="108" w:type="dxa"/>
        </w:tblCellMar>
      </w:tblPr>
      <w:tblGrid>
        <w:gridCol w:w="3369"/>
        <w:gridCol w:w="1418"/>
        <w:gridCol w:w="1500"/>
        <w:gridCol w:w="2094"/>
      </w:tblGrid>
      <w:tr>
        <w:tblPrEx>
          <w:tblCellMar>
            <w:top w:w="0" w:type="dxa"/>
            <w:left w:w="108" w:type="dxa"/>
            <w:bottom w:w="0" w:type="dxa"/>
            <w:right w:w="108" w:type="dxa"/>
          </w:tblCellMar>
        </w:tblPrEx>
        <w:trPr>
          <w:trHeight w:val="601" w:hRule="atLeast"/>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货物名称</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拟需求数量</w:t>
            </w:r>
          </w:p>
        </w:tc>
        <w:tc>
          <w:tcPr>
            <w:tcW w:w="20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r>
      <w:tr>
        <w:tblPrEx>
          <w:tblCellMar>
            <w:top w:w="0" w:type="dxa"/>
            <w:left w:w="108" w:type="dxa"/>
            <w:bottom w:w="0" w:type="dxa"/>
            <w:right w:w="108" w:type="dxa"/>
          </w:tblCellMar>
        </w:tblPrEx>
        <w:trPr>
          <w:trHeight w:val="709" w:hRule="atLeast"/>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总成架支撑提高</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3200</w:t>
            </w:r>
          </w:p>
        </w:tc>
        <w:tc>
          <w:tcPr>
            <w:tcW w:w="2094" w:type="dxa"/>
            <w:tcBorders>
              <w:top w:val="single" w:color="auto" w:sz="4" w:space="0"/>
              <w:left w:val="nil"/>
              <w:bottom w:val="single" w:color="auto" w:sz="4" w:space="0"/>
              <w:right w:val="single" w:color="auto" w:sz="4" w:space="0"/>
            </w:tcBorders>
            <w:shd w:val="clear" w:color="auto" w:fill="auto"/>
            <w:noWrap/>
            <w:vAlign w:val="bottom"/>
          </w:tcPr>
          <w:p>
            <w:pPr>
              <w:widowControl/>
              <w:jc w:val="both"/>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按实际改制数量结算</w:t>
            </w:r>
          </w:p>
        </w:tc>
      </w:tr>
    </w:tbl>
    <w:p>
      <w:pPr>
        <w:spacing w:line="480" w:lineRule="exact"/>
        <w:ind w:firstLine="720" w:firstLineChars="300"/>
        <w:jc w:val="left"/>
        <w:rPr>
          <w:sz w:val="24"/>
          <w:szCs w:val="21"/>
        </w:rPr>
      </w:pPr>
    </w:p>
    <w:p>
      <w:pPr>
        <w:spacing w:line="480" w:lineRule="exact"/>
        <w:ind w:firstLine="720" w:firstLineChars="300"/>
        <w:jc w:val="left"/>
        <w:rPr>
          <w:sz w:val="24"/>
          <w:szCs w:val="21"/>
        </w:rPr>
      </w:pPr>
      <w:r>
        <w:rPr>
          <w:sz w:val="24"/>
          <w:szCs w:val="21"/>
        </w:rPr>
        <w:t>备注</w:t>
      </w:r>
      <w:r>
        <w:rPr>
          <w:rFonts w:hint="eastAsia"/>
          <w:sz w:val="24"/>
          <w:szCs w:val="21"/>
        </w:rPr>
        <w:t>：</w:t>
      </w:r>
    </w:p>
    <w:p>
      <w:pPr>
        <w:numPr>
          <w:ilvl w:val="0"/>
          <w:numId w:val="7"/>
        </w:numPr>
        <w:spacing w:line="480" w:lineRule="exact"/>
        <w:ind w:left="0" w:firstLine="480" w:firstLineChars="200"/>
        <w:jc w:val="left"/>
        <w:rPr>
          <w:sz w:val="24"/>
          <w:szCs w:val="21"/>
        </w:rPr>
      </w:pPr>
      <w:r>
        <w:rPr>
          <w:sz w:val="24"/>
          <w:szCs w:val="21"/>
        </w:rPr>
        <w:t>供货方式</w:t>
      </w:r>
      <w:r>
        <w:rPr>
          <w:rFonts w:hint="eastAsia"/>
          <w:sz w:val="24"/>
          <w:szCs w:val="21"/>
        </w:rPr>
        <w:t>交钥匙方式：投标人负责</w:t>
      </w:r>
      <w:r>
        <w:rPr>
          <w:rFonts w:hint="eastAsia"/>
          <w:sz w:val="24"/>
          <w:szCs w:val="21"/>
          <w:lang w:val="en-US" w:eastAsia="zh-CN"/>
        </w:rPr>
        <w:t>器具的</w:t>
      </w:r>
      <w:r>
        <w:rPr>
          <w:rFonts w:hint="eastAsia"/>
          <w:sz w:val="24"/>
          <w:szCs w:val="21"/>
        </w:rPr>
        <w:t>、制造、运输、定点卸货、安装、调试及售后服务等所有内容，直至招标人验收合格并交付使用。</w:t>
      </w:r>
    </w:p>
    <w:p>
      <w:pPr>
        <w:numPr>
          <w:ilvl w:val="0"/>
          <w:numId w:val="7"/>
        </w:numPr>
        <w:spacing w:line="480" w:lineRule="exact"/>
        <w:ind w:left="0" w:firstLine="480" w:firstLineChars="200"/>
        <w:jc w:val="left"/>
        <w:rPr>
          <w:sz w:val="24"/>
          <w:szCs w:val="21"/>
        </w:rPr>
      </w:pPr>
      <w:r>
        <w:rPr>
          <w:rFonts w:hint="eastAsia"/>
          <w:sz w:val="24"/>
          <w:szCs w:val="21"/>
        </w:rPr>
        <w:t>项目只有</w:t>
      </w:r>
      <w:r>
        <w:rPr>
          <w:sz w:val="24"/>
          <w:szCs w:val="21"/>
        </w:rPr>
        <w:t>一个中标</w:t>
      </w:r>
      <w:r>
        <w:rPr>
          <w:rFonts w:hint="eastAsia"/>
          <w:sz w:val="24"/>
          <w:szCs w:val="21"/>
        </w:rPr>
        <w:t>人中标。</w:t>
      </w:r>
    </w:p>
    <w:p>
      <w:pPr>
        <w:numPr>
          <w:ilvl w:val="0"/>
          <w:numId w:val="7"/>
        </w:numPr>
        <w:spacing w:line="480" w:lineRule="exact"/>
        <w:ind w:left="0" w:firstLine="480" w:firstLineChars="200"/>
        <w:jc w:val="left"/>
        <w:rPr>
          <w:sz w:val="24"/>
          <w:szCs w:val="21"/>
        </w:rPr>
      </w:pPr>
      <w:r>
        <w:rPr>
          <w:rFonts w:hint="eastAsia"/>
          <w:sz w:val="24"/>
          <w:szCs w:val="21"/>
          <w:lang w:val="en-US" w:eastAsia="zh-CN"/>
        </w:rPr>
        <w:t>需求数量为项目总数量，招标方将分批要货，中标人需按照招标方要货通知单送货。</w:t>
      </w:r>
    </w:p>
    <w:p>
      <w:pPr>
        <w:spacing w:line="360" w:lineRule="auto"/>
        <w:ind w:firstLine="480" w:firstLineChars="200"/>
        <w:rPr>
          <w:sz w:val="24"/>
          <w:szCs w:val="24"/>
        </w:rPr>
      </w:pPr>
      <w:r>
        <w:rPr>
          <w:sz w:val="24"/>
          <w:szCs w:val="24"/>
        </w:rPr>
        <w:t>3</w:t>
      </w:r>
      <w:r>
        <w:rPr>
          <w:rFonts w:hint="eastAsia"/>
          <w:sz w:val="24"/>
          <w:szCs w:val="24"/>
        </w:rPr>
        <w:t>、投标人资格要求：</w:t>
      </w:r>
    </w:p>
    <w:p>
      <w:pPr>
        <w:spacing w:line="360" w:lineRule="auto"/>
        <w:ind w:firstLine="480" w:firstLineChars="200"/>
        <w:rPr>
          <w:sz w:val="24"/>
          <w:szCs w:val="24"/>
        </w:rPr>
      </w:pPr>
      <w:r>
        <w:rPr>
          <w:sz w:val="24"/>
          <w:szCs w:val="24"/>
        </w:rPr>
        <w:t xml:space="preserve">3.1 </w:t>
      </w:r>
      <w:r>
        <w:rPr>
          <w:rFonts w:hint="eastAsia"/>
          <w:sz w:val="24"/>
          <w:szCs w:val="24"/>
        </w:rPr>
        <w:t>在中国境内注册具有独立法人资格的单位，且成立三年及以上（含三年），具有有效的营业执照；</w:t>
      </w:r>
    </w:p>
    <w:p>
      <w:pPr>
        <w:spacing w:line="360" w:lineRule="auto"/>
        <w:ind w:firstLine="480" w:firstLineChars="200"/>
        <w:rPr>
          <w:sz w:val="24"/>
          <w:szCs w:val="24"/>
        </w:rPr>
      </w:pPr>
      <w:r>
        <w:rPr>
          <w:sz w:val="24"/>
          <w:szCs w:val="24"/>
        </w:rPr>
        <w:t>3.2</w:t>
      </w:r>
      <w:r>
        <w:rPr>
          <w:rFonts w:hint="eastAsia"/>
          <w:sz w:val="24"/>
          <w:szCs w:val="24"/>
        </w:rPr>
        <w:t>投标人注册资本注册资金原则上不低于项目标的额或者500万元及以上人民币或等额外币；</w:t>
      </w:r>
    </w:p>
    <w:p>
      <w:pPr>
        <w:spacing w:line="360" w:lineRule="auto"/>
        <w:ind w:firstLine="480" w:firstLineChars="200"/>
        <w:rPr>
          <w:sz w:val="24"/>
          <w:szCs w:val="24"/>
        </w:rPr>
      </w:pPr>
      <w:r>
        <w:rPr>
          <w:sz w:val="24"/>
          <w:szCs w:val="24"/>
        </w:rPr>
        <w:t>3.</w:t>
      </w:r>
      <w:r>
        <w:rPr>
          <w:rFonts w:hint="eastAsia"/>
          <w:sz w:val="24"/>
          <w:szCs w:val="24"/>
        </w:rPr>
        <w:t>3具有相应的生产及供货能力；</w:t>
      </w:r>
    </w:p>
    <w:p>
      <w:pPr>
        <w:spacing w:line="360" w:lineRule="auto"/>
        <w:ind w:firstLine="480" w:firstLineChars="200"/>
        <w:rPr>
          <w:sz w:val="24"/>
          <w:szCs w:val="24"/>
        </w:rPr>
      </w:pPr>
      <w:r>
        <w:rPr>
          <w:sz w:val="24"/>
          <w:szCs w:val="24"/>
        </w:rPr>
        <w:t>3.</w:t>
      </w:r>
      <w:r>
        <w:rPr>
          <w:rFonts w:hint="eastAsia"/>
          <w:sz w:val="24"/>
          <w:szCs w:val="24"/>
        </w:rPr>
        <w:t>4法律法规对合格投标人的其它要求、规定；</w:t>
      </w:r>
    </w:p>
    <w:p>
      <w:pPr>
        <w:spacing w:line="360" w:lineRule="auto"/>
        <w:ind w:firstLine="480" w:firstLineChars="200"/>
        <w:rPr>
          <w:sz w:val="24"/>
          <w:szCs w:val="24"/>
        </w:rPr>
      </w:pPr>
      <w:r>
        <w:rPr>
          <w:sz w:val="24"/>
          <w:szCs w:val="24"/>
        </w:rPr>
        <w:t>3.</w:t>
      </w:r>
      <w:r>
        <w:rPr>
          <w:rFonts w:hint="eastAsia"/>
          <w:sz w:val="24"/>
          <w:szCs w:val="24"/>
        </w:rPr>
        <w:t>5投标人应具有相应生产证明；</w:t>
      </w:r>
    </w:p>
    <w:p>
      <w:pPr>
        <w:spacing w:line="360" w:lineRule="auto"/>
        <w:ind w:firstLine="480" w:firstLineChars="200"/>
        <w:rPr>
          <w:rFonts w:hint="eastAsia"/>
          <w:sz w:val="24"/>
          <w:szCs w:val="24"/>
        </w:rPr>
      </w:pPr>
      <w:r>
        <w:rPr>
          <w:sz w:val="24"/>
          <w:szCs w:val="24"/>
        </w:rPr>
        <w:t>3.</w:t>
      </w:r>
      <w:r>
        <w:rPr>
          <w:rFonts w:hint="eastAsia"/>
          <w:sz w:val="24"/>
          <w:szCs w:val="24"/>
        </w:rPr>
        <w:t>6不接受联合体投标。</w:t>
      </w:r>
    </w:p>
    <w:p>
      <w:pPr>
        <w:spacing w:line="360" w:lineRule="auto"/>
        <w:ind w:firstLine="480" w:firstLineChars="200"/>
        <w:rPr>
          <w:rFonts w:hint="eastAsia"/>
          <w:sz w:val="24"/>
          <w:szCs w:val="24"/>
          <w:lang w:val="en-US" w:eastAsia="zh-CN"/>
        </w:rPr>
      </w:pPr>
      <w:r>
        <w:rPr>
          <w:rFonts w:hint="eastAsia"/>
          <w:sz w:val="24"/>
          <w:szCs w:val="24"/>
          <w:lang w:val="en-US" w:eastAsia="zh-CN"/>
        </w:rPr>
        <w:t>3.7满足技术、质量、资金等要求，财务状况良好、经营稳定，具有全</w:t>
      </w:r>
    </w:p>
    <w:p>
      <w:pPr>
        <w:spacing w:line="360" w:lineRule="auto"/>
        <w:ind w:firstLine="480" w:firstLineChars="200"/>
        <w:rPr>
          <w:rFonts w:hint="default" w:eastAsiaTheme="minorEastAsia"/>
          <w:sz w:val="24"/>
          <w:szCs w:val="24"/>
          <w:lang w:val="en-US" w:eastAsia="zh-CN"/>
        </w:rPr>
      </w:pPr>
      <w:r>
        <w:rPr>
          <w:rFonts w:hint="eastAsia"/>
          <w:sz w:val="24"/>
          <w:szCs w:val="24"/>
          <w:lang w:val="en-US" w:eastAsia="zh-CN"/>
        </w:rPr>
        <w:t>面履约的能力，能提供相关信用等级和完税证明；</w:t>
      </w:r>
    </w:p>
    <w:p>
      <w:pPr>
        <w:spacing w:line="360" w:lineRule="auto"/>
        <w:ind w:firstLine="480" w:firstLineChars="200"/>
        <w:rPr>
          <w:sz w:val="24"/>
          <w:szCs w:val="24"/>
        </w:rPr>
      </w:pPr>
      <w:r>
        <w:rPr>
          <w:sz w:val="24"/>
          <w:szCs w:val="24"/>
        </w:rPr>
        <w:t>4</w:t>
      </w:r>
      <w:r>
        <w:rPr>
          <w:rFonts w:hint="eastAsia"/>
          <w:sz w:val="24"/>
          <w:szCs w:val="24"/>
        </w:rPr>
        <w:t>、资格审查方式：资格预审+现场审查。</w:t>
      </w:r>
    </w:p>
    <w:p>
      <w:pPr>
        <w:spacing w:line="360" w:lineRule="auto"/>
        <w:ind w:firstLine="480" w:firstLineChars="200"/>
        <w:rPr>
          <w:sz w:val="24"/>
          <w:szCs w:val="24"/>
        </w:rPr>
      </w:pPr>
      <w:r>
        <w:rPr>
          <w:sz w:val="24"/>
          <w:szCs w:val="24"/>
        </w:rPr>
        <w:t>5</w:t>
      </w:r>
      <w:r>
        <w:rPr>
          <w:rFonts w:hint="eastAsia"/>
          <w:sz w:val="24"/>
          <w:szCs w:val="24"/>
        </w:rPr>
        <w:t>、报名时间和地点</w:t>
      </w:r>
    </w:p>
    <w:p>
      <w:pPr>
        <w:spacing w:line="360" w:lineRule="auto"/>
        <w:ind w:firstLine="480" w:firstLineChars="200"/>
        <w:rPr>
          <w:sz w:val="24"/>
          <w:szCs w:val="24"/>
          <w:highlight w:val="yellow"/>
        </w:rPr>
      </w:pPr>
      <w:r>
        <w:rPr>
          <w:sz w:val="24"/>
          <w:szCs w:val="24"/>
        </w:rPr>
        <w:t>5.</w:t>
      </w:r>
      <w:r>
        <w:rPr>
          <w:rFonts w:hint="eastAsia"/>
          <w:sz w:val="24"/>
          <w:szCs w:val="24"/>
        </w:rPr>
        <w:t>1报名时间：凡有意参加请者于</w:t>
      </w:r>
      <w:r>
        <w:rPr>
          <w:rFonts w:hint="eastAsia"/>
          <w:sz w:val="24"/>
          <w:szCs w:val="24"/>
          <w:highlight w:val="yellow"/>
        </w:rPr>
        <w:t>202</w:t>
      </w:r>
      <w:r>
        <w:rPr>
          <w:rFonts w:hint="eastAsia"/>
          <w:sz w:val="24"/>
          <w:szCs w:val="24"/>
          <w:highlight w:val="yellow"/>
          <w:lang w:val="en-US" w:eastAsia="zh-CN"/>
        </w:rPr>
        <w:t>3</w:t>
      </w:r>
      <w:r>
        <w:rPr>
          <w:rFonts w:hint="eastAsia"/>
          <w:sz w:val="24"/>
          <w:szCs w:val="24"/>
          <w:highlight w:val="yellow"/>
        </w:rPr>
        <w:t>年</w:t>
      </w:r>
      <w:r>
        <w:rPr>
          <w:rFonts w:hint="eastAsia"/>
          <w:sz w:val="24"/>
          <w:szCs w:val="24"/>
          <w:highlight w:val="yellow"/>
          <w:lang w:val="en-US" w:eastAsia="zh-CN"/>
        </w:rPr>
        <w:t>5</w:t>
      </w:r>
      <w:r>
        <w:rPr>
          <w:rFonts w:hint="eastAsia"/>
          <w:sz w:val="24"/>
          <w:szCs w:val="24"/>
          <w:highlight w:val="yellow"/>
        </w:rPr>
        <w:t>月</w:t>
      </w:r>
      <w:r>
        <w:rPr>
          <w:rFonts w:hint="eastAsia"/>
          <w:sz w:val="24"/>
          <w:szCs w:val="24"/>
          <w:highlight w:val="yellow"/>
          <w:lang w:val="en-US" w:eastAsia="zh-CN"/>
        </w:rPr>
        <w:t>4</w:t>
      </w:r>
      <w:r>
        <w:rPr>
          <w:rFonts w:hint="eastAsia"/>
          <w:sz w:val="24"/>
          <w:szCs w:val="24"/>
          <w:highlight w:val="yellow"/>
        </w:rPr>
        <w:t>日至202</w:t>
      </w:r>
      <w:r>
        <w:rPr>
          <w:rFonts w:hint="eastAsia"/>
          <w:sz w:val="24"/>
          <w:szCs w:val="24"/>
          <w:highlight w:val="yellow"/>
          <w:lang w:val="en-US" w:eastAsia="zh-CN"/>
        </w:rPr>
        <w:t>3</w:t>
      </w:r>
      <w:r>
        <w:rPr>
          <w:rFonts w:hint="eastAsia"/>
          <w:sz w:val="24"/>
          <w:szCs w:val="24"/>
          <w:highlight w:val="yellow"/>
        </w:rPr>
        <w:t>年</w:t>
      </w:r>
      <w:r>
        <w:rPr>
          <w:rFonts w:hint="eastAsia"/>
          <w:sz w:val="24"/>
          <w:szCs w:val="24"/>
          <w:highlight w:val="yellow"/>
          <w:lang w:val="en-US" w:eastAsia="zh-CN"/>
        </w:rPr>
        <w:t>5</w:t>
      </w:r>
      <w:r>
        <w:rPr>
          <w:rFonts w:hint="eastAsia"/>
          <w:sz w:val="24"/>
          <w:szCs w:val="24"/>
          <w:highlight w:val="yellow"/>
        </w:rPr>
        <w:t>月</w:t>
      </w:r>
    </w:p>
    <w:p>
      <w:pPr>
        <w:spacing w:line="360" w:lineRule="auto"/>
        <w:ind w:firstLine="480" w:firstLineChars="200"/>
        <w:rPr>
          <w:sz w:val="24"/>
          <w:szCs w:val="24"/>
          <w:highlight w:val="yellow"/>
        </w:rPr>
      </w:pPr>
    </w:p>
    <w:p>
      <w:pPr>
        <w:spacing w:line="360" w:lineRule="auto"/>
        <w:ind w:firstLine="480" w:firstLineChars="200"/>
        <w:rPr>
          <w:sz w:val="24"/>
          <w:szCs w:val="24"/>
        </w:rPr>
      </w:pPr>
      <w:r>
        <w:rPr>
          <w:rFonts w:hint="eastAsia"/>
          <w:sz w:val="24"/>
          <w:szCs w:val="24"/>
          <w:highlight w:val="yellow"/>
        </w:rPr>
        <w:t>日</w:t>
      </w:r>
      <w:r>
        <w:rPr>
          <w:rFonts w:hint="eastAsia"/>
          <w:sz w:val="24"/>
          <w:szCs w:val="24"/>
          <w:highlight w:val="yellow"/>
          <w:lang w:val="en-US" w:eastAsia="zh-CN"/>
        </w:rPr>
        <w:t>15</w:t>
      </w:r>
      <w:r>
        <w:rPr>
          <w:rFonts w:hint="eastAsia"/>
          <w:sz w:val="24"/>
          <w:szCs w:val="24"/>
          <w:highlight w:val="yellow"/>
        </w:rPr>
        <w:t>，每日9：00～17：00（北京时间，节假日除外）</w:t>
      </w:r>
      <w:r>
        <w:rPr>
          <w:rFonts w:hint="eastAsia"/>
          <w:sz w:val="24"/>
          <w:szCs w:val="24"/>
        </w:rPr>
        <w:t>，请携带以下报名资料一套到招标单位指定地点报名（也可以将报名资料扫描件发送至招标单位指定邮箱，同时提供联系人、联系方式）：</w:t>
      </w:r>
    </w:p>
    <w:p>
      <w:pPr>
        <w:spacing w:line="360" w:lineRule="auto"/>
        <w:ind w:firstLine="480" w:firstLineChars="200"/>
        <w:rPr>
          <w:sz w:val="24"/>
          <w:szCs w:val="24"/>
        </w:rPr>
      </w:pPr>
      <w:r>
        <w:rPr>
          <w:rFonts w:hint="eastAsia"/>
          <w:sz w:val="24"/>
          <w:szCs w:val="24"/>
        </w:rPr>
        <w:t>（1）营业执照、税务登记证、组织机构代码证（已办理“三证合一”的单位只需要提供营业执照）复印件并加盖公章；</w:t>
      </w:r>
    </w:p>
    <w:p>
      <w:pPr>
        <w:spacing w:line="360" w:lineRule="auto"/>
        <w:ind w:firstLine="480" w:firstLineChars="200"/>
        <w:rPr>
          <w:sz w:val="24"/>
          <w:szCs w:val="24"/>
        </w:rPr>
      </w:pPr>
      <w:r>
        <w:rPr>
          <w:rFonts w:hint="eastAsia"/>
          <w:sz w:val="24"/>
          <w:szCs w:val="24"/>
        </w:rPr>
        <w:t>（2）法人、授权人身份证复印件并加盖公章；</w:t>
      </w:r>
    </w:p>
    <w:p>
      <w:pPr>
        <w:spacing w:line="360" w:lineRule="auto"/>
        <w:ind w:firstLine="480" w:firstLineChars="200"/>
        <w:rPr>
          <w:sz w:val="24"/>
          <w:szCs w:val="24"/>
        </w:rPr>
      </w:pPr>
      <w:r>
        <w:rPr>
          <w:rFonts w:hint="eastAsia"/>
          <w:sz w:val="24"/>
          <w:szCs w:val="24"/>
        </w:rPr>
        <w:t>（2）法人授权委托书、厂家授权书原件；</w:t>
      </w:r>
    </w:p>
    <w:p>
      <w:pPr>
        <w:spacing w:line="360" w:lineRule="auto"/>
        <w:ind w:firstLine="480" w:firstLineChars="200"/>
        <w:rPr>
          <w:sz w:val="24"/>
          <w:szCs w:val="24"/>
        </w:rPr>
      </w:pPr>
      <w:r>
        <w:rPr>
          <w:rFonts w:hint="eastAsia"/>
          <w:sz w:val="24"/>
          <w:szCs w:val="24"/>
        </w:rPr>
        <w:t>（3）类似业绩证明材料。</w:t>
      </w:r>
    </w:p>
    <w:p>
      <w:pPr>
        <w:spacing w:line="360" w:lineRule="auto"/>
        <w:ind w:firstLine="480" w:firstLineChars="200"/>
        <w:rPr>
          <w:sz w:val="24"/>
          <w:szCs w:val="24"/>
        </w:rPr>
      </w:pPr>
      <w:r>
        <w:rPr>
          <w:sz w:val="24"/>
          <w:szCs w:val="24"/>
        </w:rPr>
        <w:t>5.</w:t>
      </w:r>
      <w:r>
        <w:rPr>
          <w:rFonts w:hint="eastAsia"/>
          <w:sz w:val="24"/>
          <w:szCs w:val="24"/>
        </w:rPr>
        <w:t>2报名地点：</w:t>
      </w:r>
      <w:bookmarkStart w:id="4" w:name="_Hlk56759876"/>
      <w:r>
        <w:rPr>
          <w:rFonts w:hint="eastAsia"/>
          <w:sz w:val="24"/>
          <w:szCs w:val="24"/>
        </w:rPr>
        <w:t>济南市章丘区圣井镇中国重汽（章丘）工业园变速箱</w:t>
      </w:r>
      <w:bookmarkEnd w:id="4"/>
      <w:r>
        <w:rPr>
          <w:rFonts w:hint="eastAsia"/>
          <w:sz w:val="24"/>
          <w:szCs w:val="24"/>
        </w:rPr>
        <w:t>厂。</w:t>
      </w:r>
    </w:p>
    <w:p>
      <w:pPr>
        <w:spacing w:line="360" w:lineRule="auto"/>
        <w:ind w:firstLine="480" w:firstLineChars="200"/>
        <w:rPr>
          <w:sz w:val="24"/>
          <w:szCs w:val="24"/>
          <w:highlight w:val="yellow"/>
        </w:rPr>
      </w:pPr>
      <w:r>
        <w:rPr>
          <w:rFonts w:hint="eastAsia"/>
          <w:sz w:val="24"/>
          <w:szCs w:val="24"/>
          <w:highlight w:val="yellow"/>
        </w:rPr>
        <w:t>联系人：张振涛、唐辉</w:t>
      </w:r>
    </w:p>
    <w:p>
      <w:pPr>
        <w:spacing w:line="360" w:lineRule="auto"/>
        <w:ind w:firstLine="480" w:firstLineChars="200"/>
        <w:rPr>
          <w:sz w:val="24"/>
          <w:szCs w:val="24"/>
          <w:highlight w:val="yellow"/>
        </w:rPr>
      </w:pPr>
      <w:r>
        <w:rPr>
          <w:rFonts w:hint="eastAsia"/>
          <w:sz w:val="24"/>
          <w:szCs w:val="24"/>
          <w:highlight w:val="yellow"/>
        </w:rPr>
        <w:t>电话：</w:t>
      </w:r>
      <w:r>
        <w:rPr>
          <w:sz w:val="24"/>
          <w:szCs w:val="24"/>
          <w:highlight w:val="yellow"/>
        </w:rPr>
        <w:t>17861403583</w:t>
      </w:r>
      <w:r>
        <w:rPr>
          <w:rFonts w:hint="eastAsia"/>
          <w:sz w:val="24"/>
          <w:szCs w:val="24"/>
          <w:highlight w:val="yellow"/>
        </w:rPr>
        <w:t>、</w:t>
      </w:r>
    </w:p>
    <w:p>
      <w:pPr>
        <w:spacing w:line="360" w:lineRule="auto"/>
        <w:ind w:firstLine="480" w:firstLineChars="200"/>
        <w:rPr>
          <w:sz w:val="24"/>
          <w:szCs w:val="24"/>
        </w:rPr>
      </w:pPr>
      <w:r>
        <w:rPr>
          <w:rFonts w:hint="eastAsia"/>
          <w:sz w:val="24"/>
          <w:szCs w:val="24"/>
          <w:highlight w:val="yellow"/>
        </w:rPr>
        <w:t>E-MAIL：</w:t>
      </w:r>
      <w:r>
        <w:rPr>
          <w:rFonts w:hint="eastAsia"/>
          <w:sz w:val="24"/>
          <w:szCs w:val="24"/>
          <w:lang w:val="en-US" w:eastAsia="zh-CN"/>
        </w:rPr>
        <w:t>17861403583</w:t>
      </w:r>
      <w:r>
        <w:rPr>
          <w:rFonts w:hint="eastAsia"/>
          <w:sz w:val="24"/>
          <w:szCs w:val="24"/>
        </w:rPr>
        <w:t>@163.com</w:t>
      </w:r>
    </w:p>
    <w:p>
      <w:pPr>
        <w:spacing w:line="360" w:lineRule="auto"/>
        <w:ind w:firstLine="480" w:firstLineChars="200"/>
        <w:rPr>
          <w:sz w:val="24"/>
          <w:szCs w:val="24"/>
        </w:rPr>
      </w:pPr>
      <w:r>
        <w:rPr>
          <w:sz w:val="24"/>
          <w:szCs w:val="24"/>
        </w:rPr>
        <w:t>6</w:t>
      </w:r>
      <w:r>
        <w:rPr>
          <w:rFonts w:hint="eastAsia"/>
          <w:sz w:val="24"/>
          <w:szCs w:val="24"/>
        </w:rPr>
        <w:t>、招标文件的获取：网上获取（中国重型汽车集团有限公司官网）。</w:t>
      </w:r>
    </w:p>
    <w:p>
      <w:pPr>
        <w:spacing w:line="360" w:lineRule="auto"/>
        <w:ind w:firstLine="480" w:firstLineChars="200"/>
        <w:rPr>
          <w:sz w:val="24"/>
          <w:szCs w:val="24"/>
        </w:rPr>
      </w:pPr>
      <w:r>
        <w:rPr>
          <w:rFonts w:hint="eastAsia"/>
          <w:sz w:val="24"/>
          <w:szCs w:val="24"/>
        </w:rPr>
        <w:t>7、投标截止时间及开标时间</w:t>
      </w:r>
      <w:r>
        <w:rPr>
          <w:rFonts w:hint="eastAsia" w:ascii="宋体" w:hAnsi="宋体"/>
          <w:sz w:val="24"/>
          <w:szCs w:val="24"/>
        </w:rPr>
        <w:t>：</w:t>
      </w:r>
      <w:r>
        <w:rPr>
          <w:rFonts w:ascii="宋体" w:hAnsi="宋体"/>
          <w:sz w:val="24"/>
          <w:szCs w:val="24"/>
          <w:highlight w:val="yellow"/>
          <w:u w:val="single"/>
        </w:rPr>
        <w:t>202</w:t>
      </w:r>
      <w:r>
        <w:rPr>
          <w:rFonts w:hint="eastAsia" w:ascii="宋体" w:hAnsi="宋体"/>
          <w:sz w:val="24"/>
          <w:szCs w:val="24"/>
          <w:highlight w:val="yellow"/>
          <w:u w:val="single"/>
          <w:lang w:val="en-US" w:eastAsia="zh-CN"/>
        </w:rPr>
        <w:t>3</w:t>
      </w:r>
      <w:r>
        <w:rPr>
          <w:rFonts w:hint="eastAsia" w:ascii="宋体" w:hAnsi="宋体"/>
          <w:sz w:val="24"/>
          <w:szCs w:val="24"/>
          <w:highlight w:val="yellow"/>
        </w:rPr>
        <w:t>年</w:t>
      </w:r>
      <w:r>
        <w:rPr>
          <w:rFonts w:hint="eastAsia" w:ascii="宋体" w:hAnsi="宋体"/>
          <w:sz w:val="24"/>
          <w:szCs w:val="24"/>
          <w:highlight w:val="yellow"/>
          <w:lang w:val="en-US" w:eastAsia="zh-CN"/>
        </w:rPr>
        <w:t>5</w:t>
      </w:r>
      <w:r>
        <w:rPr>
          <w:rFonts w:hint="eastAsia" w:ascii="宋体" w:hAnsi="宋体"/>
          <w:sz w:val="24"/>
          <w:szCs w:val="24"/>
          <w:highlight w:val="yellow"/>
        </w:rPr>
        <w:t>月</w:t>
      </w:r>
      <w:r>
        <w:rPr>
          <w:rFonts w:hint="eastAsia" w:ascii="宋体" w:hAnsi="宋体"/>
          <w:sz w:val="24"/>
          <w:szCs w:val="24"/>
          <w:highlight w:val="yellow"/>
          <w:lang w:val="en-US" w:eastAsia="zh-CN"/>
        </w:rPr>
        <w:t>16</w:t>
      </w:r>
      <w:bookmarkStart w:id="28" w:name="_GoBack"/>
      <w:bookmarkEnd w:id="28"/>
      <w:r>
        <w:rPr>
          <w:rFonts w:hint="eastAsia" w:ascii="宋体" w:hAnsi="宋体"/>
          <w:sz w:val="24"/>
          <w:szCs w:val="24"/>
          <w:highlight w:val="yellow"/>
        </w:rPr>
        <w:t>日上午</w:t>
      </w:r>
      <w:r>
        <w:rPr>
          <w:rFonts w:hint="eastAsia" w:ascii="宋体" w:hAnsi="宋体"/>
          <w:sz w:val="24"/>
          <w:szCs w:val="24"/>
          <w:highlight w:val="yellow"/>
          <w:u w:val="single"/>
        </w:rPr>
        <w:t>9：</w:t>
      </w:r>
      <w:r>
        <w:rPr>
          <w:rFonts w:hint="eastAsia" w:ascii="宋体" w:hAnsi="宋体"/>
          <w:sz w:val="24"/>
          <w:szCs w:val="24"/>
          <w:highlight w:val="yellow"/>
          <w:u w:val="single"/>
          <w:lang w:val="en-US" w:eastAsia="zh-CN"/>
        </w:rPr>
        <w:t>30</w:t>
      </w:r>
      <w:r>
        <w:rPr>
          <w:rFonts w:hint="eastAsia" w:ascii="宋体" w:hAnsi="宋体"/>
          <w:sz w:val="24"/>
          <w:szCs w:val="24"/>
          <w:highlight w:val="yellow"/>
        </w:rPr>
        <w:t>时</w:t>
      </w:r>
      <w:r>
        <w:rPr>
          <w:rFonts w:ascii="宋体" w:hAnsi="宋体"/>
          <w:sz w:val="24"/>
          <w:szCs w:val="24"/>
        </w:rPr>
        <w:t>(</w:t>
      </w:r>
      <w:r>
        <w:rPr>
          <w:rFonts w:hint="eastAsia" w:ascii="宋体" w:hAnsi="宋体"/>
          <w:sz w:val="24"/>
          <w:szCs w:val="24"/>
        </w:rPr>
        <w:t>北京时间</w:t>
      </w:r>
      <w:r>
        <w:rPr>
          <w:rFonts w:ascii="宋体" w:hAnsi="宋体"/>
          <w:sz w:val="24"/>
          <w:szCs w:val="24"/>
        </w:rPr>
        <w:t>)</w:t>
      </w:r>
      <w:r>
        <w:rPr>
          <w:rFonts w:hint="eastAsia"/>
          <w:sz w:val="24"/>
          <w:szCs w:val="24"/>
        </w:rPr>
        <w:t>。</w:t>
      </w:r>
    </w:p>
    <w:p>
      <w:pPr>
        <w:spacing w:line="360" w:lineRule="auto"/>
        <w:ind w:firstLine="480" w:firstLineChars="200"/>
        <w:rPr>
          <w:rFonts w:hint="default" w:eastAsiaTheme="minorEastAsia"/>
          <w:sz w:val="24"/>
          <w:szCs w:val="24"/>
          <w:lang w:val="en-US" w:eastAsia="zh-CN"/>
        </w:rPr>
      </w:pPr>
      <w:r>
        <w:rPr>
          <w:rFonts w:hint="eastAsia"/>
          <w:sz w:val="24"/>
          <w:szCs w:val="24"/>
        </w:rPr>
        <w:t>8、开标时间及地点：</w:t>
      </w:r>
      <w:r>
        <w:rPr>
          <w:rFonts w:hint="eastAsia"/>
          <w:sz w:val="24"/>
          <w:szCs w:val="24"/>
          <w:highlight w:val="yellow"/>
        </w:rPr>
        <w:t>2</w:t>
      </w:r>
      <w:r>
        <w:rPr>
          <w:sz w:val="24"/>
          <w:szCs w:val="24"/>
          <w:highlight w:val="yellow"/>
        </w:rPr>
        <w:t>02</w:t>
      </w:r>
      <w:r>
        <w:rPr>
          <w:rFonts w:hint="eastAsia"/>
          <w:sz w:val="24"/>
          <w:szCs w:val="24"/>
          <w:highlight w:val="yellow"/>
          <w:lang w:val="en-US" w:eastAsia="zh-CN"/>
        </w:rPr>
        <w:t>3</w:t>
      </w:r>
      <w:r>
        <w:rPr>
          <w:sz w:val="24"/>
          <w:szCs w:val="24"/>
          <w:highlight w:val="yellow"/>
        </w:rPr>
        <w:t>年</w:t>
      </w:r>
      <w:r>
        <w:rPr>
          <w:rFonts w:hint="eastAsia"/>
          <w:sz w:val="24"/>
          <w:szCs w:val="24"/>
          <w:highlight w:val="yellow"/>
          <w:lang w:val="en-US" w:eastAsia="zh-CN"/>
        </w:rPr>
        <w:t>5</w:t>
      </w:r>
      <w:r>
        <w:rPr>
          <w:sz w:val="24"/>
          <w:szCs w:val="24"/>
          <w:highlight w:val="yellow"/>
        </w:rPr>
        <w:t>月</w:t>
      </w:r>
      <w:r>
        <w:rPr>
          <w:rFonts w:hint="eastAsia"/>
          <w:sz w:val="24"/>
          <w:szCs w:val="24"/>
          <w:highlight w:val="yellow"/>
          <w:lang w:val="en-US" w:eastAsia="zh-CN"/>
        </w:rPr>
        <w:t>16</w:t>
      </w:r>
      <w:r>
        <w:rPr>
          <w:sz w:val="24"/>
          <w:szCs w:val="24"/>
          <w:highlight w:val="yellow"/>
        </w:rPr>
        <w:t>日</w:t>
      </w:r>
      <w:r>
        <w:rPr>
          <w:rFonts w:hint="eastAsia"/>
          <w:sz w:val="24"/>
          <w:szCs w:val="24"/>
          <w:highlight w:val="yellow"/>
        </w:rPr>
        <w:t>上午</w:t>
      </w:r>
      <w:r>
        <w:rPr>
          <w:rFonts w:hint="eastAsia" w:ascii="宋体" w:hAnsi="宋体"/>
          <w:sz w:val="24"/>
          <w:szCs w:val="24"/>
          <w:highlight w:val="yellow"/>
          <w:u w:val="single"/>
        </w:rPr>
        <w:t>9：</w:t>
      </w:r>
      <w:r>
        <w:rPr>
          <w:rFonts w:hint="eastAsia" w:ascii="宋体" w:hAnsi="宋体"/>
          <w:sz w:val="24"/>
          <w:szCs w:val="24"/>
          <w:highlight w:val="yellow"/>
          <w:u w:val="single"/>
          <w:lang w:val="en-US" w:eastAsia="zh-CN"/>
        </w:rPr>
        <w:t>30</w:t>
      </w:r>
      <w:r>
        <w:rPr>
          <w:rFonts w:hint="eastAsia" w:ascii="宋体"/>
          <w:sz w:val="24"/>
          <w:szCs w:val="24"/>
          <w:u w:val="single"/>
        </w:rPr>
        <w:t>时</w:t>
      </w:r>
      <w:r>
        <w:rPr>
          <w:rFonts w:hint="eastAsia"/>
          <w:sz w:val="24"/>
          <w:szCs w:val="24"/>
        </w:rPr>
        <w:t>济南市章丘区圣井镇中国重汽（章丘）工业园变速箱厂</w:t>
      </w:r>
      <w:r>
        <w:rPr>
          <w:rFonts w:hint="eastAsia"/>
          <w:sz w:val="24"/>
          <w:szCs w:val="24"/>
          <w:lang w:eastAsia="zh-CN"/>
        </w:rPr>
        <w:t>；</w:t>
      </w:r>
      <w:r>
        <w:rPr>
          <w:rFonts w:hint="eastAsia"/>
          <w:sz w:val="24"/>
          <w:szCs w:val="24"/>
          <w:highlight w:val="red"/>
          <w:lang w:val="en-US" w:eastAsia="zh-CN"/>
        </w:rPr>
        <w:t>因不可控因素（包括但不限于：疫情、地震、火灾、危化生物袭击等）导致无法线下开标，将通过线上视频会议的方式开标，此情况另行通知。</w:t>
      </w:r>
    </w:p>
    <w:p>
      <w:pPr>
        <w:spacing w:line="360" w:lineRule="auto"/>
        <w:ind w:firstLine="480" w:firstLineChars="200"/>
        <w:rPr>
          <w:sz w:val="24"/>
          <w:szCs w:val="24"/>
        </w:rPr>
      </w:pPr>
      <w:r>
        <w:rPr>
          <w:rFonts w:hint="eastAsia"/>
          <w:sz w:val="24"/>
          <w:szCs w:val="24"/>
        </w:rPr>
        <w:t>9、中标人瑕疵滞后发现的处理原则：无论基于何种原因，各项本应作为拒绝处理的情形即使未被及时发现而使该中标人通过了资格审核、初评、现场复审、终评或其他所有相关程序，包括已签订合同的情形，一旦中标人被拒绝或该中标人此前的评议结果被取消，相关的一切损失均由该中标人承担。</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rPr>
          <w:b/>
          <w:sz w:val="24"/>
          <w:szCs w:val="24"/>
        </w:rPr>
      </w:pPr>
    </w:p>
    <w:p>
      <w:pPr>
        <w:wordWrap w:val="0"/>
        <w:spacing w:after="624" w:line="360" w:lineRule="auto"/>
        <w:ind w:firstLine="241" w:firstLineChars="100"/>
        <w:jc w:val="right"/>
        <w:rPr>
          <w:rFonts w:ascii="宋体" w:hAnsi="宋体"/>
          <w:b/>
          <w:sz w:val="24"/>
          <w:szCs w:val="24"/>
        </w:rPr>
      </w:pPr>
      <w:r>
        <w:rPr>
          <w:rFonts w:ascii="宋体" w:hAnsi="宋体"/>
          <w:b/>
          <w:sz w:val="24"/>
          <w:szCs w:val="24"/>
        </w:rPr>
        <w:t>202</w:t>
      </w:r>
      <w:r>
        <w:rPr>
          <w:rFonts w:hint="eastAsia" w:ascii="宋体" w:hAnsi="宋体"/>
          <w:b/>
          <w:sz w:val="24"/>
          <w:szCs w:val="24"/>
          <w:lang w:val="en-US" w:eastAsia="zh-CN"/>
        </w:rPr>
        <w:t>3</w:t>
      </w:r>
      <w:r>
        <w:rPr>
          <w:rFonts w:hint="eastAsia" w:ascii="宋体" w:hAnsi="宋体"/>
          <w:b/>
          <w:sz w:val="24"/>
          <w:szCs w:val="24"/>
        </w:rPr>
        <w:t>年</w:t>
      </w:r>
      <w:r>
        <w:rPr>
          <w:rFonts w:hint="eastAsia" w:ascii="宋体" w:hAnsi="宋体"/>
          <w:b/>
          <w:sz w:val="24"/>
          <w:szCs w:val="24"/>
          <w:lang w:val="en-US" w:eastAsia="zh-CN"/>
        </w:rPr>
        <w:t>4</w:t>
      </w:r>
      <w:r>
        <w:rPr>
          <w:rFonts w:hint="eastAsia" w:ascii="宋体" w:hAnsi="宋体"/>
          <w:b/>
          <w:sz w:val="24"/>
          <w:szCs w:val="24"/>
        </w:rPr>
        <w:t>月</w:t>
      </w:r>
      <w:r>
        <w:rPr>
          <w:rFonts w:hint="eastAsia" w:ascii="宋体" w:hAnsi="宋体"/>
          <w:b/>
          <w:sz w:val="24"/>
          <w:szCs w:val="24"/>
          <w:lang w:val="en-US" w:eastAsia="zh-CN"/>
        </w:rPr>
        <w:t>25</w:t>
      </w:r>
      <w:r>
        <w:rPr>
          <w:rFonts w:hint="eastAsia" w:ascii="宋体" w:hAnsi="宋体"/>
          <w:b/>
          <w:sz w:val="24"/>
          <w:szCs w:val="24"/>
        </w:rPr>
        <w:t>日</w:t>
      </w:r>
    </w:p>
    <w:p>
      <w:pPr>
        <w:widowControl/>
        <w:jc w:val="left"/>
        <w:rPr>
          <w:rFonts w:ascii="宋体" w:hAnsi="宋体"/>
          <w:b/>
          <w:sz w:val="24"/>
          <w:szCs w:val="24"/>
        </w:rPr>
      </w:pPr>
      <w:r>
        <w:rPr>
          <w:rFonts w:ascii="宋体" w:hAnsi="宋体"/>
          <w:b/>
          <w:sz w:val="24"/>
          <w:szCs w:val="24"/>
        </w:rPr>
        <w:br w:type="page"/>
      </w:r>
    </w:p>
    <w:p>
      <w:pPr>
        <w:pStyle w:val="2"/>
        <w:numPr>
          <w:ilvl w:val="0"/>
          <w:numId w:val="0"/>
        </w:numPr>
        <w:jc w:val="center"/>
        <w:rPr>
          <w:rFonts w:ascii="黑体" w:eastAsia="黑体"/>
          <w:sz w:val="30"/>
        </w:rPr>
      </w:pPr>
      <w:bookmarkStart w:id="5" w:name="_Toc525135787"/>
      <w:r>
        <w:rPr>
          <w:rFonts w:hint="eastAsia" w:ascii="黑体" w:eastAsia="黑体"/>
          <w:sz w:val="30"/>
        </w:rPr>
        <w:t>第五章投标资料表</w:t>
      </w:r>
      <w:bookmarkEnd w:id="3"/>
      <w:bookmarkEnd w:id="5"/>
    </w:p>
    <w:p>
      <w:pPr>
        <w:spacing w:line="360" w:lineRule="auto"/>
        <w:ind w:firstLine="480" w:firstLineChars="200"/>
        <w:rPr>
          <w:sz w:val="24"/>
          <w:szCs w:val="24"/>
        </w:rPr>
      </w:pPr>
      <w:r>
        <w:rPr>
          <w:rFonts w:hint="eastAsia"/>
          <w:sz w:val="24"/>
          <w:szCs w:val="24"/>
        </w:rPr>
        <w:t>本表关于要采购的货物的具体资料是对投标人须知的具体补充和修改，如有矛盾，应以本资料表为准。</w:t>
      </w:r>
    </w:p>
    <w:tbl>
      <w:tblPr>
        <w:tblStyle w:val="37"/>
        <w:tblW w:w="8959" w:type="dxa"/>
        <w:jc w:val="center"/>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Layout w:type="fixed"/>
        <w:tblCellMar>
          <w:top w:w="0" w:type="dxa"/>
          <w:left w:w="28" w:type="dxa"/>
          <w:bottom w:w="0" w:type="dxa"/>
          <w:right w:w="28" w:type="dxa"/>
        </w:tblCellMar>
      </w:tblPr>
      <w:tblGrid>
        <w:gridCol w:w="1057"/>
        <w:gridCol w:w="2330"/>
        <w:gridCol w:w="5572"/>
      </w:tblGrid>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tcBorders>
              <w:top w:val="single" w:color="333366" w:sz="12" w:space="0"/>
            </w:tcBorders>
            <w:vAlign w:val="center"/>
          </w:tcPr>
          <w:p>
            <w:pPr>
              <w:jc w:val="center"/>
              <w:rPr>
                <w:b/>
                <w:bCs/>
                <w:sz w:val="24"/>
                <w:szCs w:val="24"/>
              </w:rPr>
            </w:pPr>
            <w:r>
              <w:rPr>
                <w:rFonts w:hint="eastAsia"/>
                <w:b/>
                <w:bCs/>
                <w:sz w:val="24"/>
                <w:szCs w:val="24"/>
              </w:rPr>
              <w:t>条款号</w:t>
            </w:r>
          </w:p>
        </w:tc>
        <w:tc>
          <w:tcPr>
            <w:tcW w:w="2330" w:type="dxa"/>
            <w:tcBorders>
              <w:top w:val="single" w:color="333366" w:sz="12" w:space="0"/>
            </w:tcBorders>
            <w:vAlign w:val="center"/>
          </w:tcPr>
          <w:p>
            <w:pPr>
              <w:spacing w:line="360" w:lineRule="auto"/>
              <w:jc w:val="center"/>
              <w:rPr>
                <w:b/>
                <w:bCs/>
                <w:sz w:val="24"/>
                <w:szCs w:val="24"/>
              </w:rPr>
            </w:pPr>
            <w:r>
              <w:rPr>
                <w:rFonts w:hint="eastAsia"/>
                <w:b/>
                <w:bCs/>
                <w:sz w:val="24"/>
                <w:szCs w:val="24"/>
              </w:rPr>
              <w:t>条款名称</w:t>
            </w:r>
          </w:p>
        </w:tc>
        <w:tc>
          <w:tcPr>
            <w:tcW w:w="5572" w:type="dxa"/>
            <w:tcBorders>
              <w:top w:val="single" w:color="333366" w:sz="12" w:space="0"/>
            </w:tcBorders>
            <w:vAlign w:val="center"/>
          </w:tcPr>
          <w:p>
            <w:pPr>
              <w:spacing w:line="360" w:lineRule="auto"/>
              <w:jc w:val="center"/>
              <w:rPr>
                <w:b/>
                <w:bCs/>
                <w:sz w:val="24"/>
                <w:szCs w:val="24"/>
              </w:rPr>
            </w:pPr>
            <w:r>
              <w:rPr>
                <w:rFonts w:hint="eastAsia"/>
                <w:b/>
                <w:bCs/>
                <w:sz w:val="24"/>
                <w:szCs w:val="24"/>
              </w:rPr>
              <w:t>编列内容</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3"/>
            <w:vAlign w:val="center"/>
          </w:tcPr>
          <w:p>
            <w:pPr>
              <w:jc w:val="center"/>
              <w:rPr>
                <w:rFonts w:eastAsia="楷体_GB2312"/>
                <w:b/>
                <w:sz w:val="24"/>
                <w:szCs w:val="24"/>
              </w:rPr>
            </w:pPr>
            <w:r>
              <w:rPr>
                <w:rFonts w:eastAsia="楷体_GB2312"/>
                <w:b/>
                <w:sz w:val="24"/>
                <w:szCs w:val="24"/>
              </w:rPr>
              <w:t xml:space="preserve">A  </w:t>
            </w:r>
            <w:r>
              <w:rPr>
                <w:rFonts w:hint="eastAsia" w:eastAsia="楷体_GB2312"/>
                <w:b/>
                <w:sz w:val="24"/>
                <w:szCs w:val="24"/>
              </w:rPr>
              <w:t>说明</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vAlign w:val="center"/>
          </w:tcPr>
          <w:p>
            <w:pPr>
              <w:jc w:val="center"/>
              <w:rPr>
                <w:sz w:val="24"/>
                <w:szCs w:val="24"/>
              </w:rPr>
            </w:pPr>
            <w:r>
              <w:rPr>
                <w:sz w:val="24"/>
                <w:szCs w:val="24"/>
              </w:rPr>
              <w:t>1.1</w:t>
            </w:r>
          </w:p>
        </w:tc>
        <w:tc>
          <w:tcPr>
            <w:tcW w:w="2330" w:type="dxa"/>
            <w:vAlign w:val="center"/>
          </w:tcPr>
          <w:p>
            <w:pPr>
              <w:jc w:val="left"/>
              <w:rPr>
                <w:sz w:val="24"/>
                <w:szCs w:val="24"/>
              </w:rPr>
            </w:pPr>
            <w:r>
              <w:rPr>
                <w:rFonts w:hint="eastAsia"/>
                <w:sz w:val="24"/>
                <w:szCs w:val="24"/>
              </w:rPr>
              <w:t>招标人</w:t>
            </w:r>
          </w:p>
        </w:tc>
        <w:tc>
          <w:tcPr>
            <w:tcW w:w="5572" w:type="dxa"/>
            <w:vAlign w:val="center"/>
          </w:tcPr>
          <w:p>
            <w:pPr>
              <w:spacing w:line="312" w:lineRule="atLeast"/>
              <w:rPr>
                <w:sz w:val="24"/>
                <w:szCs w:val="24"/>
              </w:rPr>
            </w:pPr>
            <w:r>
              <w:rPr>
                <w:rFonts w:hint="eastAsia"/>
                <w:sz w:val="24"/>
                <w:szCs w:val="24"/>
              </w:rPr>
              <w:t>名称：中国重汽集团济南动力有限公司</w:t>
            </w:r>
          </w:p>
          <w:p>
            <w:pPr>
              <w:spacing w:line="312" w:lineRule="atLeast"/>
              <w:rPr>
                <w:sz w:val="24"/>
                <w:szCs w:val="24"/>
              </w:rPr>
            </w:pPr>
            <w:r>
              <w:rPr>
                <w:rFonts w:hint="eastAsia"/>
                <w:sz w:val="24"/>
                <w:szCs w:val="24"/>
              </w:rPr>
              <w:t>地址：济南市章丘区圣井街道中国重汽（章丘）工业园变速箱厂</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vAlign w:val="center"/>
          </w:tcPr>
          <w:p>
            <w:pPr>
              <w:jc w:val="center"/>
              <w:rPr>
                <w:sz w:val="24"/>
                <w:szCs w:val="24"/>
              </w:rPr>
            </w:pPr>
            <w:r>
              <w:rPr>
                <w:sz w:val="24"/>
                <w:szCs w:val="24"/>
              </w:rPr>
              <w:t>1.3.5</w:t>
            </w:r>
          </w:p>
        </w:tc>
        <w:tc>
          <w:tcPr>
            <w:tcW w:w="2330" w:type="dxa"/>
            <w:vAlign w:val="center"/>
          </w:tcPr>
          <w:p>
            <w:pPr>
              <w:jc w:val="left"/>
              <w:rPr>
                <w:sz w:val="24"/>
                <w:szCs w:val="24"/>
              </w:rPr>
            </w:pPr>
            <w:r>
              <w:rPr>
                <w:rFonts w:hint="eastAsia"/>
                <w:sz w:val="24"/>
                <w:szCs w:val="24"/>
              </w:rPr>
              <w:t>其它资格要求</w:t>
            </w:r>
          </w:p>
        </w:tc>
        <w:tc>
          <w:tcPr>
            <w:tcW w:w="5572" w:type="dxa"/>
            <w:vAlign w:val="center"/>
          </w:tcPr>
          <w:p>
            <w:pPr>
              <w:rPr>
                <w:rFonts w:ascii="宋体"/>
                <w:b/>
                <w:sz w:val="24"/>
                <w:szCs w:val="24"/>
              </w:rPr>
            </w:pPr>
            <w:r>
              <w:rPr>
                <w:rFonts w:hint="eastAsia" w:ascii="宋体" w:hAnsi="宋体"/>
                <w:b/>
                <w:sz w:val="24"/>
                <w:szCs w:val="24"/>
              </w:rPr>
              <w:t>投标人必须携带以下资料参加开标会并交验，否则视为自动放弃投标资格：</w:t>
            </w:r>
          </w:p>
          <w:p>
            <w:pPr>
              <w:rPr>
                <w:rFonts w:ascii="宋体"/>
                <w:b/>
                <w:sz w:val="24"/>
                <w:szCs w:val="24"/>
              </w:rPr>
            </w:pPr>
            <w:r>
              <w:rPr>
                <w:rFonts w:hint="eastAsia" w:ascii="宋体" w:hAnsi="宋体"/>
                <w:b/>
                <w:sz w:val="24"/>
                <w:szCs w:val="24"/>
              </w:rPr>
              <w:t>（</w:t>
            </w:r>
            <w:r>
              <w:rPr>
                <w:rFonts w:ascii="宋体" w:hAnsi="宋体"/>
                <w:b/>
                <w:sz w:val="24"/>
                <w:szCs w:val="24"/>
              </w:rPr>
              <w:t>1</w:t>
            </w:r>
            <w:r>
              <w:rPr>
                <w:rFonts w:hint="eastAsia" w:ascii="宋体" w:hAnsi="宋体"/>
                <w:b/>
                <w:sz w:val="24"/>
                <w:szCs w:val="24"/>
              </w:rPr>
              <w:t>）法人授权委托书及身份证；</w:t>
            </w:r>
          </w:p>
          <w:p>
            <w:pPr>
              <w:jc w:val="left"/>
              <w:rPr>
                <w:rFonts w:ascii="宋体" w:hAnsi="宋体"/>
                <w:b/>
                <w:sz w:val="24"/>
                <w:szCs w:val="24"/>
              </w:rPr>
            </w:pPr>
            <w:r>
              <w:rPr>
                <w:rFonts w:hint="eastAsia" w:ascii="宋体" w:hAnsi="宋体"/>
                <w:b/>
                <w:sz w:val="24"/>
                <w:szCs w:val="24"/>
              </w:rPr>
              <w:t>（</w:t>
            </w:r>
            <w:r>
              <w:rPr>
                <w:rFonts w:ascii="宋体" w:hAnsi="宋体"/>
                <w:b/>
                <w:sz w:val="24"/>
                <w:szCs w:val="24"/>
              </w:rPr>
              <w:t>2</w:t>
            </w:r>
            <w:r>
              <w:rPr>
                <w:rFonts w:hint="eastAsia" w:ascii="宋体" w:hAnsi="宋体"/>
                <w:b/>
                <w:sz w:val="24"/>
                <w:szCs w:val="24"/>
              </w:rPr>
              <w:t>）营业执照副本；</w:t>
            </w:r>
          </w:p>
          <w:p>
            <w:pPr>
              <w:jc w:val="left"/>
              <w:rPr>
                <w:rFonts w:ascii="宋体" w:hAnsi="宋体"/>
                <w:b/>
                <w:sz w:val="24"/>
                <w:szCs w:val="24"/>
              </w:rPr>
            </w:pPr>
            <w:r>
              <w:rPr>
                <w:rFonts w:hint="eastAsia" w:ascii="宋体" w:hAnsi="宋体"/>
                <w:b/>
                <w:sz w:val="24"/>
                <w:szCs w:val="24"/>
              </w:rPr>
              <w:t>（3）投标保证金收据。</w:t>
            </w:r>
            <w:r>
              <w:rPr>
                <w:rFonts w:hint="eastAsia" w:ascii="宋体" w:hAnsi="宋体"/>
                <w:b/>
                <w:bCs/>
                <w:sz w:val="24"/>
              </w:rPr>
              <w:br w:type="textWrapping"/>
            </w:r>
            <w:r>
              <w:rPr>
                <w:rFonts w:hint="eastAsia" w:ascii="宋体" w:hAnsi="宋体"/>
                <w:b/>
                <w:sz w:val="24"/>
                <w:szCs w:val="24"/>
              </w:rPr>
              <w:t>注意：（1）本项目要求投标人成立</w:t>
            </w:r>
            <w:r>
              <w:rPr>
                <w:rFonts w:hint="eastAsia" w:ascii="宋体" w:hAnsi="宋体"/>
                <w:b/>
                <w:bCs/>
                <w:sz w:val="24"/>
              </w:rPr>
              <w:t>三年及以上（以营业执照成立日期到开标当日满3年为准）</w:t>
            </w:r>
            <w:r>
              <w:rPr>
                <w:rFonts w:hint="eastAsia" w:ascii="宋体" w:hAnsi="宋体"/>
                <w:b/>
                <w:sz w:val="24"/>
                <w:szCs w:val="24"/>
              </w:rPr>
              <w:t>，注册资本金为</w:t>
            </w:r>
            <w:r>
              <w:rPr>
                <w:rFonts w:hint="eastAsia" w:ascii="宋体" w:hAnsi="宋体"/>
                <w:b/>
                <w:sz w:val="24"/>
                <w:szCs w:val="24"/>
                <w:lang w:val="en-US" w:eastAsia="zh-CN"/>
              </w:rPr>
              <w:t>500</w:t>
            </w:r>
            <w:r>
              <w:rPr>
                <w:rFonts w:hint="eastAsia" w:ascii="宋体" w:hAnsi="宋体"/>
                <w:b/>
                <w:sz w:val="24"/>
                <w:szCs w:val="24"/>
              </w:rPr>
              <w:t>万元及以上人民币或等额外币。投标人应具有相应生产证明。如果营业执照在开标日年检，须出具当地工商部门证明。</w:t>
            </w:r>
          </w:p>
          <w:p>
            <w:pPr>
              <w:ind w:firstLine="590" w:firstLineChars="245"/>
              <w:jc w:val="left"/>
              <w:rPr>
                <w:rFonts w:ascii="宋体" w:hAnsi="宋体"/>
                <w:b/>
                <w:sz w:val="24"/>
                <w:szCs w:val="24"/>
              </w:rPr>
            </w:pPr>
            <w:r>
              <w:rPr>
                <w:rFonts w:hint="eastAsia" w:ascii="宋体" w:hAnsi="宋体"/>
                <w:b/>
                <w:sz w:val="24"/>
                <w:szCs w:val="24"/>
              </w:rPr>
              <w:t>（2）本项目不接受代理商投标。</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vAlign w:val="center"/>
          </w:tcPr>
          <w:p>
            <w:pPr>
              <w:jc w:val="center"/>
              <w:rPr>
                <w:sz w:val="24"/>
                <w:szCs w:val="24"/>
              </w:rPr>
            </w:pPr>
            <w:r>
              <w:rPr>
                <w:sz w:val="24"/>
                <w:szCs w:val="24"/>
              </w:rPr>
              <w:t>1.3.6</w:t>
            </w:r>
          </w:p>
        </w:tc>
        <w:tc>
          <w:tcPr>
            <w:tcW w:w="2330" w:type="dxa"/>
            <w:vAlign w:val="center"/>
          </w:tcPr>
          <w:p>
            <w:pPr>
              <w:jc w:val="center"/>
              <w:rPr>
                <w:sz w:val="24"/>
                <w:szCs w:val="24"/>
              </w:rPr>
            </w:pPr>
            <w:r>
              <w:rPr>
                <w:rFonts w:hint="eastAsia"/>
                <w:sz w:val="24"/>
                <w:szCs w:val="24"/>
              </w:rPr>
              <w:t>是否接受联合体投标</w:t>
            </w:r>
          </w:p>
        </w:tc>
        <w:tc>
          <w:tcPr>
            <w:tcW w:w="5572" w:type="dxa"/>
            <w:vAlign w:val="center"/>
          </w:tcPr>
          <w:p>
            <w:pPr>
              <w:rPr>
                <w:sz w:val="24"/>
                <w:szCs w:val="24"/>
              </w:rPr>
            </w:pPr>
            <w:r>
              <w:rPr>
                <w:rFonts w:hint="eastAsia"/>
                <w:sz w:val="24"/>
                <w:szCs w:val="24"/>
              </w:rPr>
              <w:t>不接受</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3"/>
            <w:vAlign w:val="center"/>
          </w:tcPr>
          <w:p>
            <w:pPr>
              <w:jc w:val="center"/>
              <w:rPr>
                <w:rFonts w:eastAsia="楷体_GB2312"/>
                <w:b/>
                <w:sz w:val="24"/>
                <w:szCs w:val="24"/>
              </w:rPr>
            </w:pPr>
            <w:r>
              <w:rPr>
                <w:rFonts w:eastAsia="楷体_GB2312"/>
                <w:b/>
                <w:sz w:val="24"/>
                <w:szCs w:val="24"/>
              </w:rPr>
              <w:t xml:space="preserve">B </w:t>
            </w:r>
            <w:r>
              <w:rPr>
                <w:rFonts w:hint="eastAsia" w:eastAsia="楷体_GB2312"/>
                <w:b/>
                <w:sz w:val="24"/>
                <w:szCs w:val="24"/>
              </w:rPr>
              <w:t>招标文件</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1215" w:hRule="atLeast"/>
          <w:jc w:val="center"/>
        </w:trPr>
        <w:tc>
          <w:tcPr>
            <w:tcW w:w="1057" w:type="dxa"/>
            <w:vAlign w:val="center"/>
          </w:tcPr>
          <w:p>
            <w:pPr>
              <w:jc w:val="center"/>
              <w:rPr>
                <w:sz w:val="24"/>
                <w:szCs w:val="24"/>
              </w:rPr>
            </w:pPr>
            <w:r>
              <w:rPr>
                <w:sz w:val="24"/>
                <w:szCs w:val="24"/>
              </w:rPr>
              <w:t>6</w:t>
            </w:r>
          </w:p>
        </w:tc>
        <w:tc>
          <w:tcPr>
            <w:tcW w:w="2330" w:type="dxa"/>
            <w:vAlign w:val="center"/>
          </w:tcPr>
          <w:p>
            <w:pPr>
              <w:jc w:val="left"/>
              <w:rPr>
                <w:sz w:val="24"/>
                <w:szCs w:val="24"/>
              </w:rPr>
            </w:pPr>
            <w:r>
              <w:rPr>
                <w:rFonts w:hint="eastAsia"/>
                <w:sz w:val="24"/>
                <w:szCs w:val="24"/>
              </w:rPr>
              <w:t>招标文件的答疑、澄清</w:t>
            </w:r>
          </w:p>
        </w:tc>
        <w:tc>
          <w:tcPr>
            <w:tcW w:w="5572" w:type="dxa"/>
            <w:vAlign w:val="center"/>
          </w:tcPr>
          <w:p>
            <w:pPr>
              <w:spacing w:line="360" w:lineRule="auto"/>
              <w:rPr>
                <w:rFonts w:ascii="Times New Roman" w:hAnsi="Times New Roman" w:cs="Times New Roman"/>
                <w:sz w:val="24"/>
                <w:szCs w:val="24"/>
              </w:rPr>
            </w:pPr>
            <w:r>
              <w:rPr>
                <w:rFonts w:hint="eastAsia" w:ascii="Times New Roman" w:cs="Times New Roman" w:hAnsiTheme="minorEastAsia"/>
                <w:sz w:val="24"/>
                <w:szCs w:val="24"/>
              </w:rPr>
              <w:t>答疑联系人</w:t>
            </w:r>
            <w:r>
              <w:rPr>
                <w:rFonts w:hint="eastAsia" w:ascii="Times New Roman" w:cs="Times New Roman" w:hAnsiTheme="minorEastAsia"/>
                <w:sz w:val="24"/>
                <w:szCs w:val="24"/>
                <w:highlight w:val="yellow"/>
              </w:rPr>
              <w:t>：</w:t>
            </w:r>
            <w:r>
              <w:rPr>
                <w:rFonts w:hint="eastAsia" w:ascii="Times New Roman" w:cs="Times New Roman" w:hAnsiTheme="minorEastAsia"/>
                <w:sz w:val="24"/>
                <w:szCs w:val="24"/>
                <w:highlight w:val="yellow"/>
                <w:lang w:val="en-US" w:eastAsia="zh-CN"/>
              </w:rPr>
              <w:t>张振涛17861403583</w:t>
            </w:r>
            <w:r>
              <w:rPr>
                <w:rFonts w:ascii="Times New Roman" w:cs="Times New Roman" w:hAnsiTheme="minorEastAsia"/>
                <w:sz w:val="24"/>
                <w:szCs w:val="24"/>
              </w:rPr>
              <w:t>提交疑问时间</w:t>
            </w:r>
            <w:r>
              <w:rPr>
                <w:rFonts w:ascii="Times New Roman" w:hAnsi="Times New Roman" w:cs="Times New Roman"/>
                <w:sz w:val="24"/>
                <w:szCs w:val="24"/>
              </w:rPr>
              <w:t>(</w:t>
            </w:r>
            <w:r>
              <w:rPr>
                <w:rFonts w:ascii="Times New Roman" w:cs="Times New Roman" w:hAnsiTheme="minorEastAsia"/>
                <w:sz w:val="24"/>
                <w:szCs w:val="24"/>
              </w:rPr>
              <w:t>如有疑问</w:t>
            </w:r>
            <w:r>
              <w:rPr>
                <w:rFonts w:ascii="Times New Roman" w:hAnsi="Times New Roman" w:cs="Times New Roman"/>
                <w:sz w:val="24"/>
                <w:szCs w:val="24"/>
              </w:rPr>
              <w:t>)</w:t>
            </w:r>
            <w:r>
              <w:rPr>
                <w:rFonts w:ascii="Times New Roman" w:cs="Times New Roman" w:hAnsiTheme="minorEastAsia"/>
                <w:sz w:val="24"/>
                <w:szCs w:val="24"/>
              </w:rPr>
              <w:t>：</w:t>
            </w:r>
            <w:r>
              <w:rPr>
                <w:rFonts w:hint="eastAsia" w:ascii="Times New Roman" w:cs="Times New Roman" w:hAnsiTheme="minorEastAsia"/>
                <w:sz w:val="24"/>
                <w:szCs w:val="24"/>
                <w:highlight w:val="yellow"/>
              </w:rPr>
              <w:t>2</w:t>
            </w:r>
            <w:r>
              <w:rPr>
                <w:rFonts w:ascii="Times New Roman" w:cs="Times New Roman" w:hAnsiTheme="minorEastAsia"/>
                <w:sz w:val="24"/>
                <w:szCs w:val="24"/>
                <w:highlight w:val="yellow"/>
              </w:rPr>
              <w:t>02</w:t>
            </w:r>
            <w:r>
              <w:rPr>
                <w:rFonts w:hint="eastAsia" w:ascii="Times New Roman" w:cs="Times New Roman" w:hAnsiTheme="minorEastAsia"/>
                <w:sz w:val="24"/>
                <w:szCs w:val="24"/>
                <w:highlight w:val="yellow"/>
                <w:lang w:val="en-US" w:eastAsia="zh-CN"/>
              </w:rPr>
              <w:t>3</w:t>
            </w:r>
            <w:r>
              <w:rPr>
                <w:rFonts w:hint="eastAsia" w:ascii="Times New Roman" w:cs="Times New Roman" w:hAnsiTheme="minorEastAsia"/>
                <w:sz w:val="24"/>
                <w:szCs w:val="24"/>
                <w:highlight w:val="yellow"/>
              </w:rPr>
              <w:t>年</w:t>
            </w:r>
            <w:r>
              <w:rPr>
                <w:rFonts w:hint="eastAsia" w:ascii="Times New Roman" w:cs="Times New Roman" w:hAnsiTheme="minorEastAsia"/>
                <w:sz w:val="24"/>
                <w:szCs w:val="24"/>
                <w:highlight w:val="yellow"/>
                <w:lang w:val="en-US" w:eastAsia="zh-CN"/>
              </w:rPr>
              <w:t>5月15</w:t>
            </w:r>
            <w:r>
              <w:rPr>
                <w:rFonts w:hint="eastAsia" w:ascii="Times New Roman" w:cs="Times New Roman" w:hAnsiTheme="minorEastAsia"/>
                <w:sz w:val="24"/>
                <w:szCs w:val="24"/>
                <w:highlight w:val="yellow"/>
              </w:rPr>
              <w:t>日19：00时前</w:t>
            </w:r>
            <w:r>
              <w:rPr>
                <w:rFonts w:ascii="Times New Roman" w:cs="Times New Roman" w:hAnsiTheme="minorEastAsia"/>
                <w:sz w:val="24"/>
                <w:szCs w:val="24"/>
                <w:highlight w:val="yellow"/>
              </w:rPr>
              <w:t>；</w:t>
            </w:r>
          </w:p>
          <w:p>
            <w:pPr>
              <w:spacing w:line="360" w:lineRule="auto"/>
              <w:rPr>
                <w:rFonts w:ascii="Times New Roman" w:cs="Times New Roman" w:hAnsiTheme="minorEastAsia"/>
                <w:sz w:val="24"/>
                <w:szCs w:val="24"/>
              </w:rPr>
            </w:pPr>
            <w:r>
              <w:rPr>
                <w:rFonts w:ascii="Times New Roman" w:cs="Times New Roman" w:hAnsiTheme="minorEastAsia"/>
                <w:sz w:val="24"/>
                <w:szCs w:val="24"/>
              </w:rPr>
              <w:t>提交疑问方式：发电子邮件至</w:t>
            </w:r>
            <w:r>
              <w:rPr>
                <w:rFonts w:hint="eastAsia" w:ascii="Times New Roman" w:cs="Times New Roman" w:hAnsiTheme="minorEastAsia"/>
                <w:sz w:val="24"/>
                <w:szCs w:val="24"/>
                <w:lang w:val="en-US" w:eastAsia="zh-CN"/>
              </w:rPr>
              <w:t>1003448862</w:t>
            </w:r>
            <w:r>
              <w:rPr>
                <w:rFonts w:ascii="Times New Roman" w:cs="Times New Roman" w:hAnsiTheme="minorEastAsia"/>
                <w:sz w:val="24"/>
                <w:szCs w:val="24"/>
              </w:rPr>
              <w:t>@qq.com</w:t>
            </w:r>
          </w:p>
          <w:p>
            <w:pPr>
              <w:spacing w:line="360" w:lineRule="auto"/>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word</w:t>
            </w:r>
            <w:r>
              <w:rPr>
                <w:rFonts w:ascii="Times New Roman" w:cs="Times New Roman" w:hAnsiTheme="minorEastAsia"/>
                <w:sz w:val="24"/>
                <w:szCs w:val="24"/>
              </w:rPr>
              <w:t>文档及加盖公章的扫描件各一份）。</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3"/>
            <w:vAlign w:val="center"/>
          </w:tcPr>
          <w:p>
            <w:pPr>
              <w:jc w:val="center"/>
              <w:rPr>
                <w:rFonts w:eastAsia="楷体_GB2312"/>
                <w:b/>
                <w:sz w:val="24"/>
                <w:szCs w:val="24"/>
              </w:rPr>
            </w:pPr>
            <w:r>
              <w:rPr>
                <w:rFonts w:eastAsia="楷体_GB2312"/>
                <w:b/>
                <w:sz w:val="24"/>
                <w:szCs w:val="24"/>
              </w:rPr>
              <w:t xml:space="preserve">C </w:t>
            </w:r>
            <w:r>
              <w:rPr>
                <w:rFonts w:hint="eastAsia" w:eastAsia="楷体_GB2312"/>
                <w:b/>
                <w:sz w:val="24"/>
                <w:szCs w:val="24"/>
              </w:rPr>
              <w:t>投标文件</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vAlign w:val="center"/>
          </w:tcPr>
          <w:p>
            <w:pPr>
              <w:jc w:val="center"/>
              <w:rPr>
                <w:sz w:val="24"/>
                <w:szCs w:val="24"/>
              </w:rPr>
            </w:pPr>
            <w:r>
              <w:rPr>
                <w:sz w:val="24"/>
                <w:szCs w:val="24"/>
              </w:rPr>
              <w:t>12.1</w:t>
            </w:r>
          </w:p>
        </w:tc>
        <w:tc>
          <w:tcPr>
            <w:tcW w:w="2330" w:type="dxa"/>
            <w:vAlign w:val="center"/>
          </w:tcPr>
          <w:p>
            <w:pPr>
              <w:jc w:val="center"/>
              <w:rPr>
                <w:i/>
                <w:sz w:val="24"/>
                <w:szCs w:val="24"/>
              </w:rPr>
            </w:pPr>
            <w:r>
              <w:rPr>
                <w:rFonts w:hint="eastAsia"/>
                <w:sz w:val="24"/>
                <w:szCs w:val="24"/>
              </w:rPr>
              <w:t>投标保证金金额</w:t>
            </w:r>
          </w:p>
        </w:tc>
        <w:tc>
          <w:tcPr>
            <w:tcW w:w="5572" w:type="dxa"/>
            <w:vAlign w:val="center"/>
          </w:tcPr>
          <w:p>
            <w:pPr>
              <w:rPr>
                <w:sz w:val="24"/>
                <w:szCs w:val="24"/>
              </w:rPr>
            </w:pPr>
            <w:r>
              <w:rPr>
                <w:rFonts w:hint="eastAsia" w:ascii="Times New Roman"/>
                <w:sz w:val="24"/>
                <w:szCs w:val="24"/>
                <w:lang w:val="en-US" w:eastAsia="zh-CN"/>
              </w:rPr>
              <w:t>500</w:t>
            </w:r>
            <w:r>
              <w:rPr>
                <w:rFonts w:ascii="Times New Roman"/>
                <w:sz w:val="24"/>
                <w:szCs w:val="24"/>
              </w:rPr>
              <w:t>0元人民币</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vAlign w:val="center"/>
          </w:tcPr>
          <w:p>
            <w:pPr>
              <w:jc w:val="center"/>
              <w:rPr>
                <w:rFonts w:ascii="Times New Roman" w:hAnsi="Times New Roman"/>
                <w:sz w:val="24"/>
                <w:szCs w:val="24"/>
              </w:rPr>
            </w:pPr>
            <w:r>
              <w:rPr>
                <w:rFonts w:ascii="Times New Roman" w:hAnsi="Times New Roman"/>
                <w:sz w:val="24"/>
                <w:szCs w:val="24"/>
              </w:rPr>
              <w:t>12.2</w:t>
            </w:r>
          </w:p>
        </w:tc>
        <w:tc>
          <w:tcPr>
            <w:tcW w:w="2330" w:type="dxa"/>
            <w:vAlign w:val="center"/>
          </w:tcPr>
          <w:p>
            <w:pPr>
              <w:jc w:val="center"/>
              <w:rPr>
                <w:rFonts w:ascii="Times New Roman" w:hAnsi="Times New Roman"/>
                <w:sz w:val="24"/>
                <w:szCs w:val="24"/>
              </w:rPr>
            </w:pPr>
            <w:r>
              <w:rPr>
                <w:rFonts w:ascii="Times New Roman"/>
                <w:sz w:val="24"/>
                <w:szCs w:val="24"/>
              </w:rPr>
              <w:t>投标保证金形式和递交</w:t>
            </w:r>
          </w:p>
        </w:tc>
        <w:tc>
          <w:tcPr>
            <w:tcW w:w="5572" w:type="dxa"/>
            <w:vAlign w:val="center"/>
          </w:tcPr>
          <w:p>
            <w:pPr>
              <w:rPr>
                <w:rFonts w:ascii="Times New Roman"/>
                <w:strike/>
                <w:sz w:val="24"/>
                <w:szCs w:val="24"/>
              </w:rPr>
            </w:pPr>
            <w:r>
              <w:rPr>
                <w:rFonts w:ascii="Times New Roman"/>
                <w:sz w:val="24"/>
                <w:szCs w:val="24"/>
              </w:rPr>
              <w:t>电汇</w:t>
            </w:r>
          </w:p>
          <w:p>
            <w:pPr>
              <w:rPr>
                <w:rFonts w:ascii="Times New Roman" w:hAnsi="宋体"/>
                <w:sz w:val="24"/>
                <w:szCs w:val="24"/>
              </w:rPr>
            </w:pPr>
            <w:r>
              <w:rPr>
                <w:rFonts w:ascii="Times New Roman"/>
                <w:sz w:val="24"/>
                <w:szCs w:val="24"/>
              </w:rPr>
              <w:t>投标保证金应在投标截止时间</w:t>
            </w:r>
            <w:r>
              <w:rPr>
                <w:rFonts w:hint="eastAsia" w:ascii="Times New Roman" w:hAnsi="Times New Roman"/>
                <w:sz w:val="24"/>
                <w:szCs w:val="24"/>
              </w:rPr>
              <w:t>3</w:t>
            </w:r>
            <w:r>
              <w:rPr>
                <w:rFonts w:ascii="Times New Roman"/>
                <w:sz w:val="24"/>
                <w:szCs w:val="24"/>
              </w:rPr>
              <w:t>日前将</w:t>
            </w:r>
            <w:r>
              <w:rPr>
                <w:rFonts w:ascii="Times New Roman" w:hAnsi="宋体"/>
                <w:b/>
                <w:bCs/>
                <w:sz w:val="24"/>
                <w:szCs w:val="24"/>
              </w:rPr>
              <w:t>投标保证金从投标人单位基本帐户转出并到账</w:t>
            </w:r>
            <w:r>
              <w:rPr>
                <w:rFonts w:ascii="Times New Roman" w:hAnsi="宋体"/>
                <w:sz w:val="24"/>
                <w:szCs w:val="24"/>
              </w:rPr>
              <w:t>，否则按否决投标处理；未按规定提交保证金的投标人，其投标文件按否决投标处理</w:t>
            </w:r>
            <w:r>
              <w:rPr>
                <w:rFonts w:hint="eastAsia" w:ascii="Times New Roman" w:hAnsi="宋体"/>
                <w:sz w:val="24"/>
                <w:szCs w:val="24"/>
              </w:rPr>
              <w:t>。</w:t>
            </w:r>
          </w:p>
          <w:p>
            <w:pPr>
              <w:rPr>
                <w:rFonts w:ascii="Times New Roman" w:hAnsi="Times New Roman"/>
                <w:b/>
                <w:bCs/>
                <w:sz w:val="24"/>
                <w:szCs w:val="24"/>
              </w:rPr>
            </w:pPr>
            <w:r>
              <w:rPr>
                <w:rFonts w:hint="eastAsia" w:ascii="Times New Roman" w:hAnsi="宋体"/>
                <w:b/>
                <w:sz w:val="24"/>
                <w:szCs w:val="24"/>
              </w:rPr>
              <w:t>并备注“变速箱</w:t>
            </w:r>
            <w:r>
              <w:rPr>
                <w:rFonts w:hint="eastAsia" w:ascii="Times New Roman" w:hAnsi="宋体"/>
                <w:b/>
                <w:sz w:val="24"/>
                <w:szCs w:val="24"/>
                <w:lang w:eastAsia="zh-CN"/>
              </w:rPr>
              <w:t>总成架改制（提高支撑）</w:t>
            </w:r>
            <w:r>
              <w:rPr>
                <w:rFonts w:hint="eastAsia" w:ascii="Times New Roman" w:hAnsi="宋体"/>
                <w:b/>
                <w:sz w:val="24"/>
                <w:szCs w:val="24"/>
              </w:rPr>
              <w:t>项目投标保证金”。</w:t>
            </w:r>
          </w:p>
          <w:p>
            <w:pPr>
              <w:spacing w:line="320" w:lineRule="exact"/>
              <w:ind w:firstLine="14" w:firstLineChars="6"/>
              <w:rPr>
                <w:rFonts w:ascii="Times New Roman" w:hAnsi="Times New Roman"/>
                <w:sz w:val="24"/>
                <w:szCs w:val="24"/>
              </w:rPr>
            </w:pPr>
            <w:r>
              <w:rPr>
                <w:rFonts w:ascii="Times New Roman" w:hAnsi="宋体"/>
                <w:b/>
                <w:bCs/>
                <w:sz w:val="24"/>
                <w:szCs w:val="24"/>
              </w:rPr>
              <w:t>投标保证金帐户如下：</w:t>
            </w:r>
          </w:p>
          <w:p>
            <w:pPr>
              <w:jc w:val="left"/>
              <w:rPr>
                <w:rFonts w:ascii="Times New Roman" w:hAnsi="宋体"/>
                <w:b/>
                <w:bCs/>
                <w:sz w:val="28"/>
                <w:szCs w:val="28"/>
              </w:rPr>
            </w:pPr>
            <w:r>
              <w:rPr>
                <w:rFonts w:ascii="Times New Roman" w:hAnsi="宋体"/>
                <w:sz w:val="24"/>
                <w:szCs w:val="24"/>
              </w:rPr>
              <w:t>开户单位：</w:t>
            </w:r>
            <w:r>
              <w:rPr>
                <w:rFonts w:hint="eastAsia" w:ascii="Times New Roman" w:hAnsi="宋体"/>
                <w:b/>
                <w:bCs/>
                <w:sz w:val="28"/>
                <w:szCs w:val="28"/>
              </w:rPr>
              <w:t>中国重汽集团济南动力有限公司</w:t>
            </w:r>
          </w:p>
          <w:p>
            <w:pPr>
              <w:jc w:val="left"/>
              <w:rPr>
                <w:rFonts w:ascii="Times New Roman" w:hAnsi="宋体"/>
                <w:sz w:val="24"/>
                <w:szCs w:val="24"/>
              </w:rPr>
            </w:pPr>
            <w:r>
              <w:rPr>
                <w:rFonts w:ascii="Times New Roman" w:hAnsi="宋体"/>
                <w:sz w:val="24"/>
                <w:szCs w:val="24"/>
              </w:rPr>
              <w:t>银行账号：</w:t>
            </w:r>
            <w:r>
              <w:rPr>
                <w:rFonts w:hint="eastAsia" w:ascii="华文新魏" w:hAnsi="宋体" w:eastAsia="华文新魏"/>
                <w:b/>
                <w:bCs/>
                <w:kern w:val="0"/>
                <w:sz w:val="24"/>
                <w:szCs w:val="24"/>
              </w:rPr>
              <w:t>37050161651700000519</w:t>
            </w:r>
          </w:p>
          <w:p>
            <w:pPr>
              <w:jc w:val="left"/>
              <w:rPr>
                <w:rFonts w:ascii="Times New Roman" w:hAnsi="Times New Roman"/>
                <w:sz w:val="24"/>
                <w:szCs w:val="24"/>
              </w:rPr>
            </w:pPr>
            <w:r>
              <w:rPr>
                <w:rFonts w:ascii="Times New Roman" w:hAnsi="宋体"/>
                <w:sz w:val="24"/>
                <w:szCs w:val="24"/>
              </w:rPr>
              <w:t>开户银行：</w:t>
            </w:r>
            <w:r>
              <w:rPr>
                <w:rFonts w:hint="eastAsia" w:ascii="宋体" w:hAnsi="宋体"/>
                <w:b/>
                <w:bCs/>
                <w:kern w:val="0"/>
                <w:sz w:val="28"/>
                <w:szCs w:val="28"/>
              </w:rPr>
              <w:t>中国建设银行股份有限公司济南天桥支行明湖分理处</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vAlign w:val="center"/>
          </w:tcPr>
          <w:p>
            <w:pPr>
              <w:jc w:val="center"/>
              <w:rPr>
                <w:sz w:val="24"/>
                <w:szCs w:val="24"/>
              </w:rPr>
            </w:pPr>
            <w:r>
              <w:rPr>
                <w:sz w:val="24"/>
                <w:szCs w:val="24"/>
              </w:rPr>
              <w:t>13.1</w:t>
            </w:r>
          </w:p>
        </w:tc>
        <w:tc>
          <w:tcPr>
            <w:tcW w:w="2330" w:type="dxa"/>
            <w:vAlign w:val="center"/>
          </w:tcPr>
          <w:p>
            <w:pPr>
              <w:jc w:val="center"/>
              <w:rPr>
                <w:sz w:val="24"/>
                <w:szCs w:val="24"/>
              </w:rPr>
            </w:pPr>
            <w:r>
              <w:rPr>
                <w:rFonts w:hint="eastAsia"/>
                <w:sz w:val="24"/>
                <w:szCs w:val="24"/>
              </w:rPr>
              <w:t>投标有效期</w:t>
            </w:r>
          </w:p>
        </w:tc>
        <w:tc>
          <w:tcPr>
            <w:tcW w:w="5572" w:type="dxa"/>
            <w:vAlign w:val="center"/>
          </w:tcPr>
          <w:p>
            <w:pPr>
              <w:rPr>
                <w:sz w:val="24"/>
                <w:szCs w:val="24"/>
              </w:rPr>
            </w:pPr>
            <w:r>
              <w:rPr>
                <w:sz w:val="24"/>
                <w:szCs w:val="24"/>
              </w:rPr>
              <w:t>90</w:t>
            </w:r>
            <w:r>
              <w:rPr>
                <w:rFonts w:hint="eastAsia"/>
                <w:sz w:val="24"/>
                <w:szCs w:val="24"/>
              </w:rPr>
              <w:t>天</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vAlign w:val="center"/>
          </w:tcPr>
          <w:p>
            <w:pPr>
              <w:jc w:val="center"/>
              <w:rPr>
                <w:sz w:val="24"/>
                <w:szCs w:val="24"/>
              </w:rPr>
            </w:pPr>
            <w:r>
              <w:rPr>
                <w:sz w:val="24"/>
                <w:szCs w:val="24"/>
              </w:rPr>
              <w:t>14.4</w:t>
            </w:r>
          </w:p>
        </w:tc>
        <w:tc>
          <w:tcPr>
            <w:tcW w:w="2330" w:type="dxa"/>
            <w:vAlign w:val="center"/>
          </w:tcPr>
          <w:p>
            <w:pPr>
              <w:jc w:val="center"/>
              <w:rPr>
                <w:sz w:val="24"/>
                <w:szCs w:val="24"/>
              </w:rPr>
            </w:pPr>
            <w:r>
              <w:rPr>
                <w:rFonts w:hint="eastAsia"/>
                <w:sz w:val="24"/>
                <w:szCs w:val="24"/>
              </w:rPr>
              <w:t>投标文件的份数</w:t>
            </w:r>
          </w:p>
        </w:tc>
        <w:tc>
          <w:tcPr>
            <w:tcW w:w="5572" w:type="dxa"/>
            <w:vAlign w:val="center"/>
          </w:tcPr>
          <w:p>
            <w:pPr>
              <w:spacing w:line="400" w:lineRule="exact"/>
              <w:rPr>
                <w:rFonts w:ascii="宋体" w:hAnsi="宋体"/>
                <w:bCs/>
                <w:sz w:val="24"/>
              </w:rPr>
            </w:pPr>
            <w:r>
              <w:rPr>
                <w:rFonts w:hint="eastAsia" w:ascii="宋体" w:hAnsi="宋体"/>
                <w:bCs/>
                <w:sz w:val="24"/>
              </w:rPr>
              <w:t>投标文件一式</w:t>
            </w:r>
            <w:r>
              <w:rPr>
                <w:rFonts w:hint="eastAsia" w:ascii="宋体" w:hAnsi="宋体"/>
                <w:bCs/>
                <w:sz w:val="24"/>
                <w:lang w:val="en-US" w:eastAsia="zh-CN"/>
              </w:rPr>
              <w:t>四</w:t>
            </w:r>
            <w:r>
              <w:rPr>
                <w:rFonts w:hint="eastAsia" w:ascii="宋体" w:hAnsi="宋体"/>
                <w:bCs/>
                <w:sz w:val="24"/>
              </w:rPr>
              <w:t>份，其中正本一份，副本</w:t>
            </w:r>
            <w:r>
              <w:rPr>
                <w:rFonts w:hint="eastAsia" w:ascii="宋体" w:hAnsi="宋体"/>
                <w:bCs/>
                <w:sz w:val="24"/>
                <w:lang w:val="en-US" w:eastAsia="zh-CN"/>
              </w:rPr>
              <w:t>三</w:t>
            </w:r>
            <w:r>
              <w:rPr>
                <w:rFonts w:hint="eastAsia" w:ascii="宋体" w:hAnsi="宋体"/>
                <w:bCs/>
                <w:sz w:val="24"/>
              </w:rPr>
              <w:t>份；</w:t>
            </w:r>
          </w:p>
          <w:p>
            <w:pPr>
              <w:spacing w:line="400" w:lineRule="exact"/>
              <w:rPr>
                <w:rFonts w:ascii="宋体" w:hAnsi="宋体"/>
                <w:bCs/>
                <w:sz w:val="24"/>
              </w:rPr>
            </w:pPr>
            <w:r>
              <w:rPr>
                <w:rFonts w:hint="eastAsia" w:ascii="宋体" w:hAnsi="宋体"/>
                <w:bCs/>
                <w:sz w:val="24"/>
              </w:rPr>
              <w:t>同时提供投标书的电子文件（U盘）1份（包含投标文件全部内容）；</w:t>
            </w:r>
          </w:p>
          <w:p>
            <w:pPr>
              <w:spacing w:line="400" w:lineRule="exact"/>
              <w:rPr>
                <w:rFonts w:ascii="宋体" w:hAnsi="宋体"/>
                <w:bCs/>
                <w:sz w:val="24"/>
              </w:rPr>
            </w:pPr>
            <w:r>
              <w:rPr>
                <w:rFonts w:hint="eastAsia" w:ascii="宋体" w:hAnsi="宋体"/>
                <w:bCs/>
                <w:sz w:val="24"/>
              </w:rPr>
              <w:t>其中资质文件不分包，统一提供；商务标书单独编制、装订且单独密封；</w:t>
            </w:r>
          </w:p>
          <w:p>
            <w:pPr>
              <w:spacing w:line="400" w:lineRule="exact"/>
              <w:rPr>
                <w:sz w:val="24"/>
                <w:szCs w:val="24"/>
              </w:rPr>
            </w:pPr>
            <w:r>
              <w:rPr>
                <w:rFonts w:hint="eastAsia" w:ascii="宋体" w:hAnsi="宋体"/>
                <w:bCs/>
                <w:sz w:val="24"/>
              </w:rPr>
              <w:t>商务标书、开标一览表、资质文件等请单独密封，分开投递。</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3"/>
            <w:vAlign w:val="center"/>
          </w:tcPr>
          <w:p>
            <w:pPr>
              <w:jc w:val="center"/>
              <w:rPr>
                <w:sz w:val="24"/>
                <w:szCs w:val="24"/>
              </w:rPr>
            </w:pPr>
            <w:r>
              <w:rPr>
                <w:rFonts w:eastAsia="楷体_GB2312"/>
                <w:b/>
                <w:sz w:val="24"/>
                <w:szCs w:val="24"/>
              </w:rPr>
              <w:t>D</w:t>
            </w:r>
            <w:r>
              <w:rPr>
                <w:rFonts w:hint="eastAsia" w:eastAsia="楷体_GB2312"/>
                <w:b/>
                <w:sz w:val="24"/>
                <w:szCs w:val="24"/>
              </w:rPr>
              <w:t>投标文件递交</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vAlign w:val="center"/>
          </w:tcPr>
          <w:p>
            <w:pPr>
              <w:jc w:val="center"/>
              <w:rPr>
                <w:sz w:val="24"/>
                <w:szCs w:val="24"/>
              </w:rPr>
            </w:pPr>
            <w:r>
              <w:rPr>
                <w:sz w:val="24"/>
                <w:szCs w:val="24"/>
              </w:rPr>
              <w:t>15.1.2</w:t>
            </w:r>
          </w:p>
        </w:tc>
        <w:tc>
          <w:tcPr>
            <w:tcW w:w="2330" w:type="dxa"/>
            <w:vAlign w:val="center"/>
          </w:tcPr>
          <w:p>
            <w:pPr>
              <w:jc w:val="center"/>
              <w:rPr>
                <w:sz w:val="24"/>
                <w:szCs w:val="24"/>
              </w:rPr>
            </w:pPr>
            <w:r>
              <w:rPr>
                <w:sz w:val="24"/>
                <w:szCs w:val="24"/>
              </w:rPr>
              <w:t>1</w:t>
            </w:r>
            <w:r>
              <w:rPr>
                <w:rFonts w:hint="eastAsia"/>
                <w:sz w:val="24"/>
                <w:szCs w:val="24"/>
              </w:rPr>
              <w:t>）投标文件递交地址</w:t>
            </w:r>
          </w:p>
        </w:tc>
        <w:tc>
          <w:tcPr>
            <w:tcW w:w="5572" w:type="dxa"/>
            <w:vAlign w:val="center"/>
          </w:tcPr>
          <w:p>
            <w:pPr>
              <w:rPr>
                <w:b/>
                <w:bCs/>
                <w:sz w:val="28"/>
                <w:szCs w:val="28"/>
              </w:rPr>
            </w:pPr>
            <w:r>
              <w:rPr>
                <w:rFonts w:hint="eastAsia" w:ascii="宋体" w:hAnsi="宋体"/>
                <w:b/>
                <w:bCs/>
                <w:sz w:val="28"/>
                <w:szCs w:val="28"/>
              </w:rPr>
              <w:t>济南市章丘区圣井镇中国重汽（章丘）工业园变速箱厂</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1033" w:hRule="atLeast"/>
          <w:jc w:val="center"/>
        </w:trPr>
        <w:tc>
          <w:tcPr>
            <w:tcW w:w="1057" w:type="dxa"/>
            <w:vAlign w:val="center"/>
          </w:tcPr>
          <w:p>
            <w:pPr>
              <w:jc w:val="center"/>
              <w:rPr>
                <w:sz w:val="24"/>
                <w:szCs w:val="24"/>
              </w:rPr>
            </w:pPr>
          </w:p>
        </w:tc>
        <w:tc>
          <w:tcPr>
            <w:tcW w:w="2330" w:type="dxa"/>
            <w:vAlign w:val="center"/>
          </w:tcPr>
          <w:p>
            <w:pPr>
              <w:jc w:val="center"/>
              <w:rPr>
                <w:sz w:val="24"/>
                <w:szCs w:val="24"/>
              </w:rPr>
            </w:pPr>
            <w:r>
              <w:rPr>
                <w:sz w:val="24"/>
                <w:szCs w:val="24"/>
              </w:rPr>
              <w:t>2</w:t>
            </w:r>
            <w:r>
              <w:rPr>
                <w:rFonts w:hint="eastAsia"/>
                <w:sz w:val="24"/>
                <w:szCs w:val="24"/>
              </w:rPr>
              <w:t>）项目名称、招标邀请的标题和编号</w:t>
            </w:r>
          </w:p>
        </w:tc>
        <w:tc>
          <w:tcPr>
            <w:tcW w:w="5572" w:type="dxa"/>
            <w:vAlign w:val="center"/>
          </w:tcPr>
          <w:p>
            <w:pPr>
              <w:rPr>
                <w:sz w:val="24"/>
                <w:szCs w:val="24"/>
              </w:rPr>
            </w:pPr>
            <w:r>
              <w:rPr>
                <w:rFonts w:hint="eastAsia"/>
                <w:sz w:val="24"/>
                <w:szCs w:val="24"/>
              </w:rPr>
              <w:t>项目名称：中国重汽集团济南动力有限公司变速箱</w:t>
            </w:r>
            <w:r>
              <w:rPr>
                <w:rFonts w:hint="eastAsia"/>
                <w:sz w:val="24"/>
                <w:szCs w:val="24"/>
                <w:lang w:eastAsia="zh-CN"/>
              </w:rPr>
              <w:t>总成架改制（提高支撑）</w:t>
            </w:r>
            <w:r>
              <w:rPr>
                <w:rFonts w:hint="eastAsia"/>
                <w:sz w:val="24"/>
                <w:szCs w:val="24"/>
              </w:rPr>
              <w:t>项目</w:t>
            </w:r>
          </w:p>
          <w:p>
            <w:pPr>
              <w:rPr>
                <w:sz w:val="24"/>
                <w:szCs w:val="24"/>
              </w:rPr>
            </w:pPr>
            <w:r>
              <w:rPr>
                <w:rFonts w:hint="eastAsia"/>
                <w:sz w:val="24"/>
                <w:szCs w:val="24"/>
              </w:rPr>
              <w:t>招标编号：</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50" w:hRule="atLeast"/>
          <w:jc w:val="center"/>
        </w:trPr>
        <w:tc>
          <w:tcPr>
            <w:tcW w:w="1057" w:type="dxa"/>
            <w:vAlign w:val="center"/>
          </w:tcPr>
          <w:p>
            <w:pPr>
              <w:jc w:val="center"/>
              <w:rPr>
                <w:sz w:val="24"/>
                <w:szCs w:val="24"/>
              </w:rPr>
            </w:pPr>
            <w:r>
              <w:rPr>
                <w:sz w:val="24"/>
                <w:szCs w:val="24"/>
              </w:rPr>
              <w:t>16.1</w:t>
            </w:r>
          </w:p>
        </w:tc>
        <w:tc>
          <w:tcPr>
            <w:tcW w:w="2330" w:type="dxa"/>
            <w:vAlign w:val="center"/>
          </w:tcPr>
          <w:p>
            <w:pPr>
              <w:jc w:val="center"/>
              <w:rPr>
                <w:sz w:val="24"/>
                <w:szCs w:val="24"/>
              </w:rPr>
            </w:pPr>
            <w:r>
              <w:rPr>
                <w:rFonts w:hint="eastAsia"/>
                <w:sz w:val="24"/>
                <w:szCs w:val="24"/>
              </w:rPr>
              <w:t>投标截止期</w:t>
            </w:r>
          </w:p>
        </w:tc>
        <w:tc>
          <w:tcPr>
            <w:tcW w:w="5572" w:type="dxa"/>
            <w:vAlign w:val="center"/>
          </w:tcPr>
          <w:p>
            <w:pPr>
              <w:rPr>
                <w:rFonts w:ascii="宋体"/>
                <w:sz w:val="24"/>
                <w:szCs w:val="24"/>
              </w:rPr>
            </w:pPr>
            <w:r>
              <w:rPr>
                <w:rFonts w:ascii="宋体" w:hAnsi="宋体"/>
                <w:sz w:val="24"/>
                <w:szCs w:val="24"/>
                <w:highlight w:val="yellow"/>
              </w:rPr>
              <w:t>202</w:t>
            </w:r>
            <w:r>
              <w:rPr>
                <w:rFonts w:hint="eastAsia" w:ascii="宋体" w:hAnsi="宋体"/>
                <w:sz w:val="24"/>
                <w:szCs w:val="24"/>
                <w:highlight w:val="yellow"/>
                <w:lang w:val="en-US" w:eastAsia="zh-CN"/>
              </w:rPr>
              <w:t>3</w:t>
            </w:r>
            <w:r>
              <w:rPr>
                <w:rFonts w:hint="eastAsia" w:ascii="宋体" w:hAnsi="宋体"/>
                <w:sz w:val="24"/>
                <w:szCs w:val="24"/>
                <w:highlight w:val="yellow"/>
              </w:rPr>
              <w:t>年</w:t>
            </w:r>
            <w:r>
              <w:rPr>
                <w:rFonts w:hint="eastAsia" w:ascii="宋体" w:hAnsi="宋体"/>
                <w:sz w:val="24"/>
                <w:szCs w:val="24"/>
                <w:highlight w:val="yellow"/>
                <w:lang w:val="en-US" w:eastAsia="zh-CN"/>
              </w:rPr>
              <w:t>5</w:t>
            </w:r>
            <w:r>
              <w:rPr>
                <w:rFonts w:hint="eastAsia" w:ascii="宋体" w:hAnsi="宋体"/>
                <w:sz w:val="24"/>
                <w:szCs w:val="24"/>
                <w:highlight w:val="yellow"/>
              </w:rPr>
              <w:t>月</w:t>
            </w:r>
            <w:r>
              <w:rPr>
                <w:rFonts w:hint="eastAsia" w:ascii="宋体" w:hAnsi="宋体"/>
                <w:sz w:val="24"/>
                <w:szCs w:val="24"/>
                <w:highlight w:val="yellow"/>
                <w:lang w:val="en-US" w:eastAsia="zh-CN"/>
              </w:rPr>
              <w:t>16</w:t>
            </w:r>
            <w:r>
              <w:rPr>
                <w:rFonts w:hint="eastAsia" w:ascii="宋体" w:hAnsi="宋体"/>
                <w:sz w:val="24"/>
                <w:szCs w:val="24"/>
                <w:highlight w:val="yellow"/>
              </w:rPr>
              <w:t>日上午</w:t>
            </w:r>
            <w:r>
              <w:rPr>
                <w:rFonts w:ascii="宋体" w:hAnsi="宋体"/>
                <w:sz w:val="24"/>
                <w:szCs w:val="24"/>
                <w:highlight w:val="yellow"/>
              </w:rPr>
              <w:t xml:space="preserve"> </w:t>
            </w:r>
            <w:r>
              <w:rPr>
                <w:rFonts w:hint="eastAsia" w:ascii="宋体" w:hAnsi="宋体"/>
                <w:sz w:val="24"/>
                <w:szCs w:val="24"/>
                <w:highlight w:val="yellow"/>
              </w:rPr>
              <w:t>9：</w:t>
            </w:r>
            <w:r>
              <w:rPr>
                <w:rFonts w:ascii="宋体"/>
                <w:sz w:val="24"/>
                <w:szCs w:val="24"/>
                <w:highlight w:val="yellow"/>
              </w:rPr>
              <w:t>00</w:t>
            </w:r>
            <w:r>
              <w:rPr>
                <w:rFonts w:hint="eastAsia" w:ascii="宋体" w:hAnsi="宋体"/>
                <w:sz w:val="24"/>
                <w:szCs w:val="24"/>
                <w:highlight w:val="yellow"/>
              </w:rPr>
              <w:t>时</w:t>
            </w:r>
            <w:r>
              <w:rPr>
                <w:rFonts w:ascii="宋体" w:hAnsi="宋体"/>
                <w:sz w:val="24"/>
                <w:szCs w:val="24"/>
                <w:highlight w:val="yellow"/>
              </w:rPr>
              <w:t>(</w:t>
            </w:r>
            <w:r>
              <w:rPr>
                <w:rFonts w:hint="eastAsia" w:ascii="宋体" w:hAnsi="宋体"/>
                <w:sz w:val="24"/>
                <w:szCs w:val="24"/>
                <w:highlight w:val="yellow"/>
              </w:rPr>
              <w:t>北京时间</w:t>
            </w:r>
            <w:r>
              <w:rPr>
                <w:rFonts w:ascii="宋体" w:hAnsi="宋体"/>
                <w:sz w:val="24"/>
                <w:szCs w:val="24"/>
                <w:highlight w:val="yellow"/>
              </w:rPr>
              <w:t>)</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3"/>
            <w:vAlign w:val="center"/>
          </w:tcPr>
          <w:p>
            <w:pPr>
              <w:jc w:val="center"/>
              <w:rPr>
                <w:rFonts w:ascii="宋体"/>
                <w:b/>
                <w:sz w:val="24"/>
                <w:szCs w:val="24"/>
              </w:rPr>
            </w:pPr>
            <w:r>
              <w:rPr>
                <w:rFonts w:ascii="宋体" w:hAnsi="宋体"/>
                <w:b/>
                <w:sz w:val="24"/>
                <w:szCs w:val="24"/>
              </w:rPr>
              <w:t>E</w:t>
            </w:r>
            <w:r>
              <w:rPr>
                <w:rFonts w:hint="eastAsia" w:ascii="宋体" w:hAnsi="宋体"/>
                <w:b/>
                <w:sz w:val="24"/>
                <w:szCs w:val="24"/>
              </w:rPr>
              <w:t>开标及评标</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vAlign w:val="center"/>
          </w:tcPr>
          <w:p>
            <w:pPr>
              <w:jc w:val="center"/>
              <w:rPr>
                <w:sz w:val="24"/>
                <w:szCs w:val="24"/>
              </w:rPr>
            </w:pPr>
            <w:r>
              <w:rPr>
                <w:sz w:val="24"/>
                <w:szCs w:val="24"/>
              </w:rPr>
              <w:t>18.1</w:t>
            </w:r>
          </w:p>
        </w:tc>
        <w:tc>
          <w:tcPr>
            <w:tcW w:w="2330" w:type="dxa"/>
            <w:vAlign w:val="center"/>
          </w:tcPr>
          <w:p>
            <w:pPr>
              <w:jc w:val="center"/>
              <w:rPr>
                <w:sz w:val="24"/>
                <w:szCs w:val="24"/>
              </w:rPr>
            </w:pPr>
            <w:r>
              <w:rPr>
                <w:rFonts w:hint="eastAsia"/>
                <w:sz w:val="24"/>
                <w:szCs w:val="24"/>
              </w:rPr>
              <w:t>开标时间</w:t>
            </w:r>
          </w:p>
          <w:p>
            <w:pPr>
              <w:jc w:val="center"/>
              <w:rPr>
                <w:i/>
                <w:sz w:val="24"/>
                <w:szCs w:val="24"/>
              </w:rPr>
            </w:pPr>
            <w:r>
              <w:rPr>
                <w:rFonts w:hint="eastAsia"/>
                <w:sz w:val="24"/>
                <w:szCs w:val="24"/>
              </w:rPr>
              <w:t>地点</w:t>
            </w:r>
          </w:p>
        </w:tc>
        <w:tc>
          <w:tcPr>
            <w:tcW w:w="5572" w:type="dxa"/>
            <w:vAlign w:val="center"/>
          </w:tcPr>
          <w:p>
            <w:pPr>
              <w:rPr>
                <w:rFonts w:ascii="宋体"/>
                <w:sz w:val="24"/>
                <w:szCs w:val="24"/>
              </w:rPr>
            </w:pPr>
            <w:r>
              <w:rPr>
                <w:rFonts w:ascii="宋体" w:hAnsi="宋体"/>
                <w:sz w:val="24"/>
                <w:szCs w:val="24"/>
                <w:highlight w:val="yellow"/>
              </w:rPr>
              <w:t>202</w:t>
            </w:r>
            <w:r>
              <w:rPr>
                <w:rFonts w:hint="eastAsia" w:ascii="宋体" w:hAnsi="宋体"/>
                <w:sz w:val="24"/>
                <w:szCs w:val="24"/>
                <w:highlight w:val="yellow"/>
                <w:lang w:val="en-US" w:eastAsia="zh-CN"/>
              </w:rPr>
              <w:t>3</w:t>
            </w:r>
            <w:r>
              <w:rPr>
                <w:rFonts w:hint="eastAsia" w:ascii="宋体" w:hAnsi="宋体"/>
                <w:sz w:val="24"/>
                <w:szCs w:val="24"/>
                <w:highlight w:val="yellow"/>
              </w:rPr>
              <w:t>年</w:t>
            </w:r>
            <w:r>
              <w:rPr>
                <w:rFonts w:hint="eastAsia" w:ascii="宋体" w:hAnsi="宋体"/>
                <w:sz w:val="24"/>
                <w:szCs w:val="24"/>
                <w:highlight w:val="yellow"/>
                <w:lang w:val="en-US" w:eastAsia="zh-CN"/>
              </w:rPr>
              <w:t>5</w:t>
            </w:r>
            <w:r>
              <w:rPr>
                <w:rFonts w:hint="eastAsia" w:ascii="宋体" w:hAnsi="宋体"/>
                <w:sz w:val="24"/>
                <w:szCs w:val="24"/>
                <w:highlight w:val="yellow"/>
              </w:rPr>
              <w:t>月</w:t>
            </w:r>
            <w:r>
              <w:rPr>
                <w:rFonts w:hint="eastAsia" w:ascii="宋体" w:hAnsi="宋体"/>
                <w:sz w:val="24"/>
                <w:szCs w:val="24"/>
                <w:highlight w:val="yellow"/>
                <w:lang w:val="en-US" w:eastAsia="zh-CN"/>
              </w:rPr>
              <w:t>16</w:t>
            </w:r>
            <w:r>
              <w:rPr>
                <w:rFonts w:hint="eastAsia" w:ascii="宋体" w:hAnsi="宋体"/>
                <w:sz w:val="24"/>
                <w:szCs w:val="24"/>
                <w:highlight w:val="yellow"/>
              </w:rPr>
              <w:t>日上午</w:t>
            </w:r>
            <w:r>
              <w:rPr>
                <w:rFonts w:ascii="宋体" w:hAnsi="宋体"/>
                <w:sz w:val="24"/>
                <w:szCs w:val="24"/>
                <w:highlight w:val="yellow"/>
              </w:rPr>
              <w:t xml:space="preserve"> </w:t>
            </w:r>
            <w:r>
              <w:rPr>
                <w:rFonts w:hint="eastAsia" w:ascii="宋体" w:hAnsi="宋体"/>
                <w:sz w:val="24"/>
                <w:szCs w:val="24"/>
                <w:highlight w:val="yellow"/>
              </w:rPr>
              <w:t>9：</w:t>
            </w:r>
            <w:r>
              <w:rPr>
                <w:rFonts w:ascii="宋体"/>
                <w:sz w:val="24"/>
                <w:szCs w:val="24"/>
                <w:highlight w:val="yellow"/>
              </w:rPr>
              <w:t>00</w:t>
            </w:r>
            <w:r>
              <w:rPr>
                <w:rFonts w:hint="eastAsia" w:ascii="宋体" w:hAnsi="宋体"/>
                <w:sz w:val="24"/>
                <w:szCs w:val="24"/>
                <w:highlight w:val="yellow"/>
              </w:rPr>
              <w:t>时</w:t>
            </w:r>
            <w:r>
              <w:rPr>
                <w:rFonts w:ascii="宋体" w:hAnsi="宋体"/>
                <w:sz w:val="24"/>
                <w:szCs w:val="24"/>
                <w:highlight w:val="yellow"/>
              </w:rPr>
              <w:t>(</w:t>
            </w:r>
            <w:r>
              <w:rPr>
                <w:rFonts w:hint="eastAsia" w:ascii="宋体" w:hAnsi="宋体"/>
                <w:sz w:val="24"/>
                <w:szCs w:val="24"/>
                <w:highlight w:val="yellow"/>
              </w:rPr>
              <w:t>北京时间</w:t>
            </w:r>
            <w:r>
              <w:rPr>
                <w:rFonts w:ascii="宋体" w:hAnsi="宋体"/>
                <w:sz w:val="24"/>
                <w:szCs w:val="24"/>
                <w:highlight w:val="yellow"/>
              </w:rPr>
              <w:t>)</w:t>
            </w:r>
          </w:p>
          <w:p>
            <w:pPr>
              <w:rPr>
                <w:rFonts w:ascii="宋体"/>
                <w:sz w:val="24"/>
                <w:szCs w:val="24"/>
              </w:rPr>
            </w:pPr>
            <w:r>
              <w:rPr>
                <w:rFonts w:hint="eastAsia" w:ascii="宋体" w:hAnsi="宋体"/>
                <w:sz w:val="24"/>
                <w:szCs w:val="24"/>
              </w:rPr>
              <w:t>济南市章丘区圣井街道中国重汽（章丘）工业园变速箱厂</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vAlign w:val="center"/>
          </w:tcPr>
          <w:p>
            <w:pPr>
              <w:jc w:val="center"/>
              <w:rPr>
                <w:sz w:val="24"/>
                <w:szCs w:val="24"/>
              </w:rPr>
            </w:pPr>
            <w:r>
              <w:rPr>
                <w:sz w:val="24"/>
                <w:szCs w:val="24"/>
              </w:rPr>
              <w:t>19.3.2</w:t>
            </w:r>
          </w:p>
        </w:tc>
        <w:tc>
          <w:tcPr>
            <w:tcW w:w="2330" w:type="dxa"/>
            <w:vAlign w:val="center"/>
          </w:tcPr>
          <w:p>
            <w:pPr>
              <w:jc w:val="center"/>
              <w:rPr>
                <w:i/>
                <w:sz w:val="24"/>
                <w:szCs w:val="24"/>
              </w:rPr>
            </w:pPr>
            <w:r>
              <w:rPr>
                <w:rFonts w:hint="eastAsia"/>
                <w:sz w:val="24"/>
                <w:szCs w:val="24"/>
              </w:rPr>
              <w:t>评标办法</w:t>
            </w:r>
          </w:p>
        </w:tc>
        <w:tc>
          <w:tcPr>
            <w:tcW w:w="5572" w:type="dxa"/>
            <w:vAlign w:val="center"/>
          </w:tcPr>
          <w:p>
            <w:pPr>
              <w:rPr>
                <w:sz w:val="24"/>
                <w:szCs w:val="24"/>
              </w:rPr>
            </w:pPr>
            <w:r>
              <w:rPr>
                <w:rFonts w:hint="eastAsia"/>
                <w:sz w:val="24"/>
                <w:szCs w:val="24"/>
              </w:rPr>
              <w:t>（2）综合评分法</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vAlign w:val="center"/>
          </w:tcPr>
          <w:p>
            <w:pPr>
              <w:jc w:val="center"/>
              <w:rPr>
                <w:sz w:val="24"/>
                <w:szCs w:val="24"/>
              </w:rPr>
            </w:pPr>
            <w:r>
              <w:rPr>
                <w:sz w:val="24"/>
                <w:szCs w:val="24"/>
              </w:rPr>
              <w:t>19.4</w:t>
            </w:r>
            <w:r>
              <w:rPr>
                <w:rFonts w:hint="eastAsia"/>
                <w:sz w:val="24"/>
                <w:szCs w:val="24"/>
              </w:rPr>
              <w:t>（</w:t>
            </w:r>
            <w:r>
              <w:rPr>
                <w:sz w:val="24"/>
                <w:szCs w:val="24"/>
              </w:rPr>
              <w:t>2</w:t>
            </w:r>
            <w:r>
              <w:rPr>
                <w:rFonts w:hint="eastAsia"/>
                <w:sz w:val="24"/>
                <w:szCs w:val="24"/>
              </w:rPr>
              <w:t>）</w:t>
            </w:r>
          </w:p>
        </w:tc>
        <w:tc>
          <w:tcPr>
            <w:tcW w:w="2330" w:type="dxa"/>
            <w:tcBorders>
              <w:bottom w:val="single" w:color="333366" w:sz="6" w:space="0"/>
            </w:tcBorders>
            <w:vAlign w:val="center"/>
          </w:tcPr>
          <w:p>
            <w:pPr>
              <w:jc w:val="center"/>
              <w:rPr>
                <w:sz w:val="24"/>
                <w:szCs w:val="24"/>
              </w:rPr>
            </w:pPr>
            <w:r>
              <w:rPr>
                <w:rFonts w:hint="eastAsia"/>
                <w:sz w:val="24"/>
                <w:szCs w:val="24"/>
              </w:rPr>
              <w:t>综合评分法</w:t>
            </w:r>
          </w:p>
        </w:tc>
        <w:tc>
          <w:tcPr>
            <w:tcW w:w="5572" w:type="dxa"/>
            <w:tcBorders>
              <w:bottom w:val="single" w:color="333366" w:sz="6" w:space="0"/>
            </w:tcBorders>
            <w:vAlign w:val="center"/>
          </w:tcPr>
          <w:p>
            <w:pPr>
              <w:rPr>
                <w:sz w:val="24"/>
                <w:szCs w:val="24"/>
              </w:rPr>
            </w:pPr>
            <w:r>
              <w:rPr>
                <w:rFonts w:hint="eastAsia"/>
                <w:sz w:val="24"/>
                <w:szCs w:val="24"/>
              </w:rPr>
              <w:t>详见投标人须知</w:t>
            </w:r>
            <w:r>
              <w:rPr>
                <w:sz w:val="24"/>
                <w:szCs w:val="24"/>
              </w:rPr>
              <w:t>19.4</w:t>
            </w:r>
            <w:r>
              <w:rPr>
                <w:rFonts w:hint="eastAsia"/>
                <w:sz w:val="24"/>
                <w:szCs w:val="24"/>
              </w:rPr>
              <w:t>（2）</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435" w:hRule="atLeast"/>
          <w:jc w:val="center"/>
        </w:trPr>
        <w:tc>
          <w:tcPr>
            <w:tcW w:w="1057" w:type="dxa"/>
            <w:tcBorders>
              <w:top w:val="single" w:color="auto" w:sz="4" w:space="0"/>
            </w:tcBorders>
            <w:vAlign w:val="center"/>
          </w:tcPr>
          <w:p>
            <w:pPr>
              <w:jc w:val="center"/>
              <w:rPr>
                <w:sz w:val="24"/>
                <w:szCs w:val="24"/>
              </w:rPr>
            </w:pPr>
            <w:r>
              <w:rPr>
                <w:sz w:val="24"/>
                <w:szCs w:val="24"/>
              </w:rPr>
              <w:t>19.5.2</w:t>
            </w:r>
          </w:p>
        </w:tc>
        <w:tc>
          <w:tcPr>
            <w:tcW w:w="2330" w:type="dxa"/>
            <w:tcBorders>
              <w:top w:val="single" w:color="auto" w:sz="4" w:space="0"/>
            </w:tcBorders>
            <w:vAlign w:val="center"/>
          </w:tcPr>
          <w:p>
            <w:pPr>
              <w:jc w:val="center"/>
              <w:rPr>
                <w:sz w:val="24"/>
                <w:szCs w:val="24"/>
              </w:rPr>
            </w:pPr>
            <w:r>
              <w:rPr>
                <w:rFonts w:hint="eastAsia"/>
                <w:sz w:val="24"/>
                <w:szCs w:val="24"/>
              </w:rPr>
              <w:t>中标公示</w:t>
            </w:r>
          </w:p>
        </w:tc>
        <w:tc>
          <w:tcPr>
            <w:tcW w:w="5572" w:type="dxa"/>
            <w:tcBorders>
              <w:top w:val="single" w:color="auto" w:sz="4" w:space="0"/>
            </w:tcBorders>
            <w:vAlign w:val="center"/>
          </w:tcPr>
          <w:p>
            <w:pPr>
              <w:rPr>
                <w:sz w:val="24"/>
                <w:szCs w:val="24"/>
              </w:rPr>
            </w:pPr>
            <w:r>
              <w:rPr>
                <w:rFonts w:hint="eastAsia"/>
                <w:sz w:val="24"/>
                <w:szCs w:val="24"/>
              </w:rPr>
              <w:t>确定中标人后，通过邮件或传真通知各投标人。</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3"/>
            <w:vAlign w:val="center"/>
          </w:tcPr>
          <w:p>
            <w:pPr>
              <w:jc w:val="center"/>
              <w:rPr>
                <w:rFonts w:eastAsia="楷体_GB2312"/>
                <w:b/>
                <w:sz w:val="24"/>
                <w:szCs w:val="24"/>
              </w:rPr>
            </w:pPr>
            <w:r>
              <w:rPr>
                <w:rFonts w:hint="eastAsia" w:eastAsia="楷体_GB2312"/>
                <w:b/>
                <w:sz w:val="24"/>
                <w:szCs w:val="24"/>
              </w:rPr>
              <w:t>F 授予合同</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3"/>
            <w:vAlign w:val="center"/>
          </w:tcPr>
          <w:p>
            <w:pPr>
              <w:jc w:val="center"/>
              <w:rPr>
                <w:rFonts w:eastAsia="楷体_GB2312"/>
                <w:b/>
                <w:sz w:val="24"/>
                <w:szCs w:val="24"/>
              </w:rPr>
            </w:pPr>
            <w:r>
              <w:rPr>
                <w:rFonts w:eastAsia="楷体_GB2312"/>
                <w:b/>
                <w:sz w:val="24"/>
                <w:szCs w:val="24"/>
              </w:rPr>
              <w:t>G</w:t>
            </w:r>
            <w:r>
              <w:rPr>
                <w:rFonts w:hint="eastAsia" w:eastAsia="楷体_GB2312"/>
                <w:b/>
                <w:sz w:val="24"/>
                <w:szCs w:val="24"/>
              </w:rPr>
              <w:t>中标服务费</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vAlign w:val="center"/>
          </w:tcPr>
          <w:p>
            <w:pPr>
              <w:jc w:val="center"/>
              <w:rPr>
                <w:sz w:val="24"/>
                <w:szCs w:val="24"/>
              </w:rPr>
            </w:pPr>
            <w:r>
              <w:rPr>
                <w:sz w:val="24"/>
                <w:szCs w:val="24"/>
              </w:rPr>
              <w:t>28.1</w:t>
            </w:r>
          </w:p>
        </w:tc>
        <w:tc>
          <w:tcPr>
            <w:tcW w:w="2330" w:type="dxa"/>
            <w:vAlign w:val="center"/>
          </w:tcPr>
          <w:p>
            <w:pPr>
              <w:jc w:val="center"/>
              <w:rPr>
                <w:i/>
                <w:sz w:val="24"/>
                <w:szCs w:val="24"/>
              </w:rPr>
            </w:pPr>
            <w:r>
              <w:rPr>
                <w:rFonts w:hint="eastAsia"/>
                <w:sz w:val="24"/>
                <w:szCs w:val="24"/>
              </w:rPr>
              <w:t>中标服务费</w:t>
            </w:r>
          </w:p>
        </w:tc>
        <w:tc>
          <w:tcPr>
            <w:tcW w:w="5572" w:type="dxa"/>
            <w:vAlign w:val="center"/>
          </w:tcPr>
          <w:p>
            <w:pPr>
              <w:jc w:val="center"/>
              <w:rPr>
                <w:sz w:val="24"/>
                <w:szCs w:val="24"/>
              </w:rPr>
            </w:pPr>
            <w:r>
              <w:rPr>
                <w:rFonts w:hint="eastAsia"/>
                <w:sz w:val="24"/>
                <w:szCs w:val="24"/>
              </w:rPr>
              <w:t>无</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3"/>
            <w:vAlign w:val="center"/>
          </w:tcPr>
          <w:p>
            <w:pPr>
              <w:jc w:val="center"/>
              <w:rPr>
                <w:sz w:val="24"/>
                <w:szCs w:val="24"/>
              </w:rPr>
            </w:pPr>
            <w:r>
              <w:rPr>
                <w:rFonts w:eastAsia="楷体_GB2312"/>
                <w:b/>
                <w:sz w:val="24"/>
                <w:szCs w:val="24"/>
              </w:rPr>
              <w:t xml:space="preserve">H  </w:t>
            </w:r>
            <w:r>
              <w:rPr>
                <w:rFonts w:hint="eastAsia" w:eastAsia="楷体_GB2312"/>
                <w:b/>
                <w:sz w:val="24"/>
                <w:szCs w:val="24"/>
              </w:rPr>
              <w:t>需要补充的其它内容</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tcBorders>
              <w:bottom w:val="single" w:color="333366" w:sz="12" w:space="0"/>
            </w:tcBorders>
            <w:vAlign w:val="center"/>
          </w:tcPr>
          <w:p>
            <w:pPr>
              <w:jc w:val="center"/>
              <w:rPr>
                <w:sz w:val="24"/>
                <w:szCs w:val="24"/>
              </w:rPr>
            </w:pPr>
            <w:r>
              <w:rPr>
                <w:sz w:val="24"/>
                <w:szCs w:val="24"/>
              </w:rPr>
              <w:t>29.1</w:t>
            </w:r>
          </w:p>
        </w:tc>
        <w:tc>
          <w:tcPr>
            <w:tcW w:w="2330" w:type="dxa"/>
            <w:tcBorders>
              <w:bottom w:val="single" w:color="333366" w:sz="12" w:space="0"/>
            </w:tcBorders>
            <w:vAlign w:val="center"/>
          </w:tcPr>
          <w:p>
            <w:pPr>
              <w:jc w:val="center"/>
              <w:rPr>
                <w:sz w:val="24"/>
                <w:szCs w:val="24"/>
              </w:rPr>
            </w:pPr>
            <w:r>
              <w:rPr>
                <w:rFonts w:hint="eastAsia"/>
                <w:sz w:val="24"/>
                <w:szCs w:val="24"/>
              </w:rPr>
              <w:t>需要补充的其它内容</w:t>
            </w:r>
          </w:p>
        </w:tc>
        <w:tc>
          <w:tcPr>
            <w:tcW w:w="5572" w:type="dxa"/>
            <w:tcBorders>
              <w:bottom w:val="single" w:color="333366" w:sz="12" w:space="0"/>
            </w:tcBorders>
            <w:vAlign w:val="center"/>
          </w:tcPr>
          <w:p>
            <w:pPr>
              <w:jc w:val="center"/>
              <w:rPr>
                <w:sz w:val="24"/>
                <w:szCs w:val="24"/>
              </w:rPr>
            </w:pPr>
            <w:r>
              <w:rPr>
                <w:sz w:val="24"/>
                <w:szCs w:val="24"/>
              </w:rPr>
              <w:t>无</w:t>
            </w:r>
          </w:p>
        </w:tc>
      </w:tr>
    </w:tbl>
    <w:p>
      <w:pPr>
        <w:widowControl/>
        <w:jc w:val="left"/>
      </w:pPr>
      <w:r>
        <w:br w:type="page"/>
      </w:r>
    </w:p>
    <w:p>
      <w:pPr>
        <w:sectPr>
          <w:headerReference r:id="rId6" w:type="default"/>
          <w:pgSz w:w="11907" w:h="16840"/>
          <w:pgMar w:top="1701" w:right="1871" w:bottom="1588" w:left="1871" w:header="851" w:footer="992" w:gutter="0"/>
          <w:cols w:space="720" w:num="1"/>
          <w:docGrid w:linePitch="312" w:charSpace="0"/>
        </w:sectPr>
      </w:pPr>
    </w:p>
    <w:p>
      <w:pPr>
        <w:pStyle w:val="2"/>
        <w:numPr>
          <w:ilvl w:val="0"/>
          <w:numId w:val="0"/>
        </w:numPr>
        <w:jc w:val="center"/>
        <w:rPr>
          <w:rFonts w:ascii="黑体" w:eastAsia="黑体"/>
          <w:sz w:val="30"/>
        </w:rPr>
      </w:pPr>
      <w:bookmarkStart w:id="6" w:name="_Toc525135788"/>
      <w:bookmarkStart w:id="7" w:name="_Toc511372612"/>
      <w:r>
        <w:rPr>
          <w:rFonts w:hint="eastAsia" w:ascii="黑体" w:eastAsia="黑体"/>
          <w:sz w:val="30"/>
        </w:rPr>
        <w:t>第六章合同资料表</w:t>
      </w:r>
      <w:bookmarkEnd w:id="6"/>
      <w:bookmarkEnd w:id="7"/>
    </w:p>
    <w:p>
      <w:pPr>
        <w:spacing w:line="360" w:lineRule="auto"/>
        <w:ind w:firstLine="480" w:firstLineChars="200"/>
        <w:rPr>
          <w:rFonts w:ascii="宋体" w:hAnsi="宋体"/>
          <w:sz w:val="24"/>
          <w:szCs w:val="24"/>
        </w:rPr>
      </w:pPr>
      <w:r>
        <w:rPr>
          <w:rFonts w:hint="eastAsia" w:ascii="宋体" w:hAnsi="宋体"/>
          <w:sz w:val="24"/>
          <w:szCs w:val="24"/>
        </w:rPr>
        <w:t>本表是关于要采购的货物的具体合同资料，是对合同条款的具体补充和修改。签署的合同应与本表内容一致，合同以双方最终签署的版本为准。</w:t>
      </w:r>
    </w:p>
    <w:tbl>
      <w:tblPr>
        <w:tblStyle w:val="37"/>
        <w:tblW w:w="8926" w:type="dxa"/>
        <w:jc w:val="center"/>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Layout w:type="fixed"/>
        <w:tblCellMar>
          <w:top w:w="0" w:type="dxa"/>
          <w:left w:w="108" w:type="dxa"/>
          <w:bottom w:w="0" w:type="dxa"/>
          <w:right w:w="108" w:type="dxa"/>
        </w:tblCellMar>
      </w:tblPr>
      <w:tblGrid>
        <w:gridCol w:w="2838"/>
        <w:gridCol w:w="6088"/>
      </w:tblGrid>
      <w:tr>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jc w:val="center"/>
        </w:trPr>
        <w:tc>
          <w:tcPr>
            <w:tcW w:w="2838" w:type="dxa"/>
            <w:vAlign w:val="center"/>
          </w:tcPr>
          <w:p>
            <w:pPr>
              <w:spacing w:line="360" w:lineRule="auto"/>
              <w:jc w:val="center"/>
              <w:rPr>
                <w:rFonts w:ascii="宋体"/>
                <w:b/>
                <w:sz w:val="24"/>
                <w:szCs w:val="24"/>
              </w:rPr>
            </w:pPr>
            <w:r>
              <w:rPr>
                <w:rFonts w:hint="eastAsia" w:ascii="宋体" w:hAnsi="宋体"/>
                <w:b/>
                <w:sz w:val="24"/>
                <w:szCs w:val="24"/>
              </w:rPr>
              <w:t>条款号及名称</w:t>
            </w:r>
          </w:p>
        </w:tc>
        <w:tc>
          <w:tcPr>
            <w:tcW w:w="6088" w:type="dxa"/>
            <w:vAlign w:val="center"/>
          </w:tcPr>
          <w:p>
            <w:pPr>
              <w:jc w:val="center"/>
              <w:rPr>
                <w:rFonts w:ascii="宋体"/>
                <w:b/>
                <w:sz w:val="24"/>
                <w:szCs w:val="24"/>
              </w:rPr>
            </w:pPr>
            <w:r>
              <w:rPr>
                <w:rFonts w:hint="eastAsia" w:ascii="宋体" w:hAnsi="宋体"/>
                <w:b/>
                <w:sz w:val="24"/>
                <w:szCs w:val="24"/>
              </w:rPr>
              <w:t>内容</w:t>
            </w:r>
          </w:p>
        </w:tc>
      </w:tr>
      <w:tr>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1105" w:hRule="atLeast"/>
          <w:jc w:val="center"/>
        </w:trPr>
        <w:tc>
          <w:tcPr>
            <w:tcW w:w="2838" w:type="dxa"/>
            <w:tcBorders>
              <w:bottom w:val="single" w:color="auto" w:sz="4" w:space="0"/>
            </w:tcBorders>
            <w:vAlign w:val="center"/>
          </w:tcPr>
          <w:p>
            <w:pPr>
              <w:spacing w:line="360" w:lineRule="auto"/>
              <w:rPr>
                <w:rFonts w:ascii="宋体"/>
                <w:sz w:val="24"/>
                <w:szCs w:val="24"/>
              </w:rPr>
            </w:pPr>
            <w:r>
              <w:rPr>
                <w:rFonts w:hint="eastAsia" w:ascii="宋体"/>
                <w:sz w:val="24"/>
                <w:szCs w:val="24"/>
              </w:rPr>
              <w:t>买方</w:t>
            </w:r>
          </w:p>
        </w:tc>
        <w:tc>
          <w:tcPr>
            <w:tcW w:w="6088" w:type="dxa"/>
            <w:tcBorders>
              <w:bottom w:val="single" w:color="auto" w:sz="4" w:space="0"/>
            </w:tcBorders>
            <w:vAlign w:val="center"/>
          </w:tcPr>
          <w:p>
            <w:pPr>
              <w:spacing w:line="380" w:lineRule="exact"/>
              <w:rPr>
                <w:rFonts w:ascii="宋体" w:hAnsi="宋体"/>
                <w:sz w:val="24"/>
                <w:szCs w:val="24"/>
                <w:u w:val="single"/>
              </w:rPr>
            </w:pPr>
            <w:r>
              <w:rPr>
                <w:rFonts w:hint="eastAsia" w:ascii="宋体" w:hAnsi="宋体"/>
                <w:sz w:val="24"/>
                <w:szCs w:val="24"/>
                <w:u w:val="single"/>
              </w:rPr>
              <w:t>中国重汽集团*</w:t>
            </w:r>
            <w:r>
              <w:rPr>
                <w:rFonts w:ascii="宋体" w:hAnsi="宋体"/>
                <w:sz w:val="24"/>
                <w:szCs w:val="24"/>
                <w:u w:val="single"/>
              </w:rPr>
              <w:t>***</w:t>
            </w:r>
            <w:r>
              <w:rPr>
                <w:rFonts w:hint="eastAsia" w:ascii="宋体" w:hAnsi="宋体"/>
                <w:sz w:val="24"/>
                <w:szCs w:val="24"/>
                <w:u w:val="single"/>
              </w:rPr>
              <w:t>（以实际签署合同为准）</w:t>
            </w:r>
          </w:p>
        </w:tc>
      </w:tr>
      <w:tr>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1061" w:hRule="atLeast"/>
          <w:jc w:val="center"/>
        </w:trPr>
        <w:tc>
          <w:tcPr>
            <w:tcW w:w="2838" w:type="dxa"/>
            <w:tcBorders>
              <w:top w:val="single" w:color="auto" w:sz="4" w:space="0"/>
            </w:tcBorders>
          </w:tcPr>
          <w:p>
            <w:pPr>
              <w:spacing w:line="360" w:lineRule="auto"/>
              <w:rPr>
                <w:rFonts w:ascii="宋体"/>
                <w:sz w:val="24"/>
                <w:szCs w:val="24"/>
              </w:rPr>
            </w:pPr>
            <w:bookmarkStart w:id="8" w:name="_Toc224640637"/>
            <w:bookmarkStart w:id="9" w:name="_Toc224641694"/>
            <w:r>
              <w:rPr>
                <w:sz w:val="24"/>
                <w:szCs w:val="24"/>
              </w:rPr>
              <w:t>6</w:t>
            </w:r>
            <w:r>
              <w:rPr>
                <w:rFonts w:hint="eastAsia"/>
                <w:sz w:val="24"/>
                <w:szCs w:val="24"/>
              </w:rPr>
              <w:t>、交货</w:t>
            </w:r>
            <w:bookmarkEnd w:id="8"/>
            <w:bookmarkEnd w:id="9"/>
          </w:p>
        </w:tc>
        <w:tc>
          <w:tcPr>
            <w:tcW w:w="6088" w:type="dxa"/>
            <w:tcBorders>
              <w:top w:val="single" w:color="auto" w:sz="4" w:space="0"/>
            </w:tcBorders>
            <w:vAlign w:val="center"/>
          </w:tcPr>
          <w:p>
            <w:pPr>
              <w:spacing w:line="280" w:lineRule="exact"/>
              <w:rPr>
                <w:rFonts w:asciiTheme="minorEastAsia" w:hAnsiTheme="minorEastAsia" w:cstheme="minorEastAsia"/>
                <w:b/>
              </w:rPr>
            </w:pPr>
            <w:r>
              <w:rPr>
                <w:rFonts w:ascii="宋体" w:hAnsi="宋体"/>
                <w:sz w:val="24"/>
                <w:szCs w:val="24"/>
              </w:rPr>
              <w:t>6.</w:t>
            </w:r>
            <w:r>
              <w:rPr>
                <w:rFonts w:hint="eastAsia" w:ascii="宋体" w:hAnsi="宋体"/>
                <w:sz w:val="24"/>
                <w:szCs w:val="24"/>
              </w:rPr>
              <w:t>5交货方式：交钥匙方式</w:t>
            </w:r>
          </w:p>
          <w:p>
            <w:pPr>
              <w:spacing w:line="280" w:lineRule="exact"/>
              <w:rPr>
                <w:rFonts w:ascii="宋体" w:hAnsi="宋体"/>
                <w:bCs/>
                <w:szCs w:val="21"/>
              </w:rPr>
            </w:pPr>
            <w:r>
              <w:rPr>
                <w:rFonts w:ascii="宋体" w:hAnsi="宋体"/>
                <w:sz w:val="24"/>
                <w:szCs w:val="24"/>
              </w:rPr>
              <w:t>6.</w:t>
            </w:r>
            <w:r>
              <w:rPr>
                <w:rFonts w:hint="eastAsia" w:ascii="宋体" w:hAnsi="宋体"/>
                <w:sz w:val="24"/>
                <w:szCs w:val="24"/>
              </w:rPr>
              <w:t>6交货地点：中国重汽集团</w:t>
            </w:r>
            <w:r>
              <w:rPr>
                <w:rFonts w:hint="eastAsia"/>
                <w:sz w:val="24"/>
                <w:szCs w:val="21"/>
              </w:rPr>
              <w:t>济南动力有限公司</w:t>
            </w:r>
            <w:r>
              <w:rPr>
                <w:rFonts w:hint="eastAsia" w:ascii="宋体" w:hAnsi="宋体"/>
                <w:bCs/>
                <w:sz w:val="24"/>
                <w:szCs w:val="24"/>
              </w:rPr>
              <w:t>或买方指定地点。</w:t>
            </w:r>
          </w:p>
        </w:tc>
      </w:tr>
      <w:tr>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4494" w:hRule="atLeast"/>
          <w:jc w:val="center"/>
        </w:trPr>
        <w:tc>
          <w:tcPr>
            <w:tcW w:w="2838" w:type="dxa"/>
          </w:tcPr>
          <w:p>
            <w:pPr>
              <w:spacing w:line="360" w:lineRule="auto"/>
              <w:rPr>
                <w:sz w:val="24"/>
                <w:szCs w:val="24"/>
              </w:rPr>
            </w:pPr>
            <w:bookmarkStart w:id="10" w:name="_Toc224641698"/>
            <w:bookmarkStart w:id="11" w:name="_Toc224640641"/>
            <w:r>
              <w:rPr>
                <w:sz w:val="24"/>
                <w:szCs w:val="24"/>
              </w:rPr>
              <w:t>8</w:t>
            </w:r>
            <w:r>
              <w:rPr>
                <w:rFonts w:hint="eastAsia"/>
                <w:sz w:val="24"/>
                <w:szCs w:val="24"/>
              </w:rPr>
              <w:t>、价款与支付</w:t>
            </w:r>
            <w:bookmarkEnd w:id="10"/>
            <w:bookmarkEnd w:id="11"/>
          </w:p>
        </w:tc>
        <w:tc>
          <w:tcPr>
            <w:tcW w:w="6088" w:type="dxa"/>
          </w:tcPr>
          <w:p>
            <w:pPr>
              <w:spacing w:line="280" w:lineRule="exact"/>
              <w:rPr>
                <w:rFonts w:ascii="宋体" w:hAnsi="宋体"/>
                <w:bCs/>
                <w:sz w:val="24"/>
                <w:szCs w:val="21"/>
              </w:rPr>
            </w:pPr>
            <w:r>
              <w:rPr>
                <w:rFonts w:ascii="宋体" w:hAnsi="宋体"/>
                <w:bCs/>
                <w:sz w:val="24"/>
                <w:szCs w:val="21"/>
              </w:rPr>
              <w:t>8.2</w:t>
            </w:r>
            <w:r>
              <w:rPr>
                <w:rFonts w:hint="eastAsia" w:ascii="宋体" w:hAnsi="宋体"/>
                <w:bCs/>
                <w:sz w:val="24"/>
                <w:szCs w:val="21"/>
              </w:rPr>
              <w:t>合同价款的结算方式：挂账9</w:t>
            </w:r>
            <w:r>
              <w:rPr>
                <w:rFonts w:ascii="宋体" w:hAnsi="宋体"/>
                <w:bCs/>
                <w:sz w:val="24"/>
                <w:szCs w:val="21"/>
              </w:rPr>
              <w:t>0</w:t>
            </w:r>
            <w:r>
              <w:rPr>
                <w:rFonts w:hint="eastAsia" w:ascii="宋体" w:hAnsi="宋体"/>
                <w:bCs/>
                <w:sz w:val="24"/>
                <w:szCs w:val="21"/>
              </w:rPr>
              <w:t>天，支付半年期商业汇票</w:t>
            </w:r>
            <w:r>
              <w:rPr>
                <w:rFonts w:hint="eastAsia" w:ascii="宋体" w:hAnsi="宋体"/>
                <w:bCs/>
                <w:sz w:val="24"/>
                <w:szCs w:val="21"/>
                <w:lang w:eastAsia="zh-CN"/>
              </w:rPr>
              <w:t>（</w:t>
            </w:r>
            <w:r>
              <w:rPr>
                <w:rFonts w:hint="eastAsia" w:ascii="宋体" w:hAnsi="宋体"/>
                <w:bCs/>
                <w:sz w:val="24"/>
                <w:szCs w:val="21"/>
                <w:lang w:val="en-US" w:eastAsia="zh-CN"/>
              </w:rPr>
              <w:t>包括银行承兑汇票和商业汇票</w:t>
            </w:r>
            <w:r>
              <w:rPr>
                <w:rFonts w:hint="eastAsia" w:ascii="宋体" w:hAnsi="宋体"/>
                <w:bCs/>
                <w:sz w:val="24"/>
                <w:szCs w:val="21"/>
                <w:lang w:eastAsia="zh-CN"/>
              </w:rPr>
              <w:t>）</w:t>
            </w:r>
            <w:r>
              <w:rPr>
                <w:rFonts w:hint="eastAsia" w:ascii="宋体" w:hAnsi="宋体"/>
                <w:bCs/>
                <w:sz w:val="24"/>
                <w:szCs w:val="21"/>
              </w:rPr>
              <w:t>。</w:t>
            </w:r>
          </w:p>
          <w:p>
            <w:pPr>
              <w:spacing w:line="280" w:lineRule="exact"/>
              <w:rPr>
                <w:rFonts w:ascii="宋体" w:hAnsi="宋体"/>
                <w:bCs/>
                <w:sz w:val="24"/>
                <w:szCs w:val="21"/>
              </w:rPr>
            </w:pPr>
            <w:r>
              <w:rPr>
                <w:rFonts w:ascii="宋体" w:hAnsi="宋体"/>
                <w:bCs/>
                <w:sz w:val="24"/>
                <w:szCs w:val="21"/>
              </w:rPr>
              <w:t>8.3</w:t>
            </w:r>
            <w:r>
              <w:rPr>
                <w:rFonts w:hint="eastAsia" w:ascii="宋体" w:hAnsi="宋体"/>
                <w:bCs/>
                <w:sz w:val="24"/>
                <w:szCs w:val="21"/>
              </w:rPr>
              <w:t>合同价款的支付：</w:t>
            </w:r>
          </w:p>
          <w:p>
            <w:pPr>
              <w:spacing w:line="280" w:lineRule="exact"/>
              <w:ind w:firstLine="480" w:firstLineChars="200"/>
              <w:rPr>
                <w:rFonts w:hint="eastAsia" w:ascii="宋体" w:hAnsi="宋体" w:eastAsiaTheme="minorEastAsia"/>
                <w:bCs/>
                <w:sz w:val="24"/>
                <w:szCs w:val="21"/>
                <w:lang w:eastAsia="zh-CN"/>
              </w:rPr>
            </w:pPr>
            <w:r>
              <w:rPr>
                <w:rFonts w:ascii="宋体" w:hAnsi="宋体"/>
                <w:bCs/>
                <w:sz w:val="24"/>
                <w:szCs w:val="21"/>
              </w:rPr>
              <w:t>8.3.1</w:t>
            </w:r>
            <w:r>
              <w:rPr>
                <w:rFonts w:hint="eastAsia" w:ascii="宋体" w:hAnsi="宋体"/>
                <w:bCs/>
                <w:sz w:val="24"/>
                <w:szCs w:val="21"/>
              </w:rPr>
              <w:t>合同生效，</w:t>
            </w:r>
            <w:r>
              <w:rPr>
                <w:rFonts w:hint="eastAsia" w:ascii="宋体" w:hAnsi="宋体" w:cs="宋体"/>
                <w:sz w:val="22"/>
                <w:szCs w:val="22"/>
                <w:highlight w:val="yellow"/>
              </w:rPr>
              <w:t>工位器具到货后需方签具接收单，供方开具本项目全付款额的增值税专用发票，财务审核无误后挂账 90 天，支付半年期</w:t>
            </w:r>
            <w:r>
              <w:rPr>
                <w:rFonts w:hint="eastAsia" w:ascii="宋体" w:hAnsi="宋体" w:cs="宋体"/>
                <w:sz w:val="22"/>
                <w:szCs w:val="22"/>
                <w:highlight w:val="yellow"/>
                <w:lang w:val="en-US" w:eastAsia="zh-CN"/>
              </w:rPr>
              <w:t>商业</w:t>
            </w:r>
            <w:r>
              <w:rPr>
                <w:rFonts w:hint="eastAsia" w:ascii="宋体" w:hAnsi="宋体" w:cs="宋体"/>
                <w:sz w:val="22"/>
                <w:szCs w:val="22"/>
                <w:highlight w:val="yellow"/>
              </w:rPr>
              <w:t>汇票</w:t>
            </w:r>
            <w:r>
              <w:rPr>
                <w:rFonts w:hint="eastAsia" w:ascii="宋体" w:hAnsi="宋体" w:cs="宋体"/>
                <w:sz w:val="22"/>
                <w:szCs w:val="22"/>
                <w:highlight w:val="yellow"/>
                <w:lang w:eastAsia="zh-CN"/>
              </w:rPr>
              <w:t>（</w:t>
            </w:r>
            <w:r>
              <w:rPr>
                <w:rFonts w:hint="eastAsia" w:ascii="宋体" w:hAnsi="宋体" w:cs="宋体"/>
                <w:sz w:val="22"/>
                <w:szCs w:val="22"/>
                <w:highlight w:val="yellow"/>
                <w:lang w:val="en-US" w:eastAsia="zh-CN"/>
              </w:rPr>
              <w:t>包括银行承兑汇票和商业汇票</w:t>
            </w:r>
            <w:r>
              <w:rPr>
                <w:rFonts w:hint="eastAsia" w:ascii="宋体" w:hAnsi="宋体" w:cs="宋体"/>
                <w:sz w:val="22"/>
                <w:szCs w:val="22"/>
                <w:highlight w:val="yellow"/>
                <w:lang w:eastAsia="zh-CN"/>
              </w:rPr>
              <w:t>）。</w:t>
            </w:r>
          </w:p>
          <w:p>
            <w:pPr>
              <w:spacing w:line="280" w:lineRule="exact"/>
              <w:ind w:firstLine="480" w:firstLineChars="200"/>
              <w:rPr>
                <w:rFonts w:ascii="宋体" w:hAnsi="宋体" w:cs="宋体"/>
                <w:sz w:val="24"/>
              </w:rPr>
            </w:pPr>
            <w:r>
              <w:rPr>
                <w:rFonts w:ascii="宋体" w:hAnsi="宋体"/>
                <w:bCs/>
                <w:sz w:val="24"/>
                <w:szCs w:val="21"/>
              </w:rPr>
              <w:t>8.3.</w:t>
            </w:r>
            <w:r>
              <w:rPr>
                <w:rFonts w:hint="eastAsia" w:ascii="宋体" w:hAnsi="宋体"/>
                <w:bCs/>
                <w:sz w:val="24"/>
                <w:szCs w:val="21"/>
                <w:lang w:val="en-US" w:eastAsia="zh-CN"/>
              </w:rPr>
              <w:t>2</w:t>
            </w:r>
            <w:r>
              <w:rPr>
                <w:rFonts w:hint="eastAsia" w:ascii="宋体" w:hAnsi="宋体"/>
                <w:bCs/>
                <w:sz w:val="24"/>
                <w:szCs w:val="21"/>
              </w:rPr>
              <w:t>合同总含税价款的</w:t>
            </w:r>
            <w:r>
              <w:rPr>
                <w:rFonts w:ascii="宋体" w:hAnsi="宋体"/>
                <w:bCs/>
                <w:sz w:val="24"/>
                <w:szCs w:val="21"/>
              </w:rPr>
              <w:t>10%</w:t>
            </w:r>
            <w:r>
              <w:rPr>
                <w:rFonts w:hint="eastAsia" w:ascii="宋体" w:hAnsi="宋体"/>
                <w:bCs/>
                <w:sz w:val="24"/>
                <w:szCs w:val="21"/>
              </w:rPr>
              <w:t>作为本合同约定器具的质量保证金，质量保证金在质量保证期内不计利息。待每套合同器具质量保证期满一年后，卖方向买方提交金额为合同含税价款</w:t>
            </w:r>
            <w:r>
              <w:rPr>
                <w:rFonts w:ascii="宋体" w:hAnsi="宋体"/>
                <w:bCs/>
                <w:sz w:val="24"/>
                <w:szCs w:val="21"/>
              </w:rPr>
              <w:t>10%</w:t>
            </w:r>
            <w:r>
              <w:rPr>
                <w:rFonts w:hint="eastAsia" w:ascii="宋体" w:hAnsi="宋体"/>
                <w:bCs/>
                <w:sz w:val="24"/>
                <w:szCs w:val="21"/>
              </w:rPr>
              <w:t>的收据（正本一份，复印件二份）及器具使用单位的使用情况说明，经买方依照财务制度审核无误后支付。如有质量问题，质量保证金予以相应扣除。</w:t>
            </w:r>
          </w:p>
        </w:tc>
      </w:tr>
      <w:tr>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642" w:hRule="atLeast"/>
          <w:jc w:val="center"/>
        </w:trPr>
        <w:tc>
          <w:tcPr>
            <w:tcW w:w="2838" w:type="dxa"/>
            <w:vAlign w:val="center"/>
          </w:tcPr>
          <w:p>
            <w:pPr>
              <w:rPr>
                <w:rFonts w:ascii="宋体"/>
                <w:sz w:val="24"/>
                <w:szCs w:val="24"/>
              </w:rPr>
            </w:pPr>
            <w:bookmarkStart w:id="12" w:name="_Toc224641700"/>
            <w:bookmarkStart w:id="13" w:name="_Toc224640643"/>
            <w:r>
              <w:rPr>
                <w:rFonts w:ascii="宋体" w:hAnsi="宋体"/>
                <w:sz w:val="24"/>
                <w:szCs w:val="24"/>
              </w:rPr>
              <w:t>9</w:t>
            </w:r>
            <w:r>
              <w:rPr>
                <w:rFonts w:hint="eastAsia" w:ascii="宋体" w:hAnsi="宋体"/>
                <w:sz w:val="24"/>
                <w:szCs w:val="24"/>
              </w:rPr>
              <w:t>、质量保证及售后服务</w:t>
            </w:r>
            <w:bookmarkEnd w:id="12"/>
            <w:bookmarkEnd w:id="13"/>
          </w:p>
        </w:tc>
        <w:tc>
          <w:tcPr>
            <w:tcW w:w="6088" w:type="dxa"/>
            <w:vAlign w:val="center"/>
          </w:tcPr>
          <w:p>
            <w:pPr>
              <w:rPr>
                <w:rFonts w:ascii="宋体"/>
                <w:sz w:val="24"/>
                <w:szCs w:val="24"/>
              </w:rPr>
            </w:pPr>
            <w:r>
              <w:rPr>
                <w:rFonts w:ascii="宋体" w:hAnsi="宋体"/>
                <w:bCs/>
                <w:sz w:val="24"/>
                <w:szCs w:val="24"/>
              </w:rPr>
              <w:t>9.4</w:t>
            </w:r>
            <w:r>
              <w:rPr>
                <w:rFonts w:hint="eastAsia" w:ascii="宋体" w:hAnsi="宋体"/>
                <w:bCs/>
                <w:sz w:val="24"/>
                <w:szCs w:val="24"/>
              </w:rPr>
              <w:t>本合同约定器具的质量保证期：自最终验收报告签署之日（以签署日期最晚者为准）起</w:t>
            </w:r>
            <w:r>
              <w:rPr>
                <w:rFonts w:hint="eastAsia" w:ascii="宋体" w:hAnsi="宋体"/>
                <w:bCs/>
                <w:sz w:val="24"/>
                <w:szCs w:val="24"/>
                <w:u w:val="single"/>
              </w:rPr>
              <w:t>1</w:t>
            </w:r>
            <w:r>
              <w:rPr>
                <w:rFonts w:hint="eastAsia" w:ascii="宋体" w:hAnsi="宋体"/>
                <w:bCs/>
                <w:sz w:val="24"/>
                <w:szCs w:val="24"/>
              </w:rPr>
              <w:t>年。</w:t>
            </w:r>
          </w:p>
        </w:tc>
      </w:tr>
      <w:tr>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735" w:hRule="atLeast"/>
          <w:jc w:val="center"/>
        </w:trPr>
        <w:tc>
          <w:tcPr>
            <w:tcW w:w="2838" w:type="dxa"/>
            <w:vAlign w:val="center"/>
          </w:tcPr>
          <w:p>
            <w:pPr>
              <w:spacing w:line="360" w:lineRule="auto"/>
              <w:rPr>
                <w:rFonts w:ascii="宋体"/>
                <w:sz w:val="24"/>
                <w:szCs w:val="24"/>
              </w:rPr>
            </w:pPr>
            <w:r>
              <w:rPr>
                <w:rFonts w:hint="eastAsia" w:ascii="宋体" w:hAnsi="宋体"/>
                <w:sz w:val="24"/>
                <w:szCs w:val="24"/>
              </w:rPr>
              <w:t>补充条款</w:t>
            </w:r>
          </w:p>
        </w:tc>
        <w:tc>
          <w:tcPr>
            <w:tcW w:w="6088" w:type="dxa"/>
            <w:vAlign w:val="center"/>
          </w:tcPr>
          <w:p>
            <w:pPr>
              <w:spacing w:line="360" w:lineRule="auto"/>
              <w:rPr>
                <w:rFonts w:ascii="宋体"/>
                <w:sz w:val="24"/>
                <w:szCs w:val="24"/>
              </w:rPr>
            </w:pPr>
            <w:r>
              <w:rPr>
                <w:rFonts w:hint="eastAsia" w:ascii="宋体" w:hAnsi="宋体"/>
                <w:sz w:val="24"/>
                <w:szCs w:val="24"/>
              </w:rPr>
              <w:t>详见第七章</w:t>
            </w:r>
          </w:p>
        </w:tc>
      </w:tr>
    </w:tbl>
    <w:p>
      <w:pPr>
        <w:sectPr>
          <w:headerReference r:id="rId7" w:type="default"/>
          <w:pgSz w:w="11907" w:h="16840"/>
          <w:pgMar w:top="1701" w:right="1871" w:bottom="1588" w:left="1871" w:header="851" w:footer="992" w:gutter="0"/>
          <w:cols w:space="720" w:num="1"/>
          <w:docGrid w:linePitch="312" w:charSpace="0"/>
        </w:sectPr>
      </w:pPr>
    </w:p>
    <w:p>
      <w:pPr>
        <w:pStyle w:val="2"/>
        <w:numPr>
          <w:ilvl w:val="0"/>
          <w:numId w:val="0"/>
        </w:numPr>
        <w:jc w:val="center"/>
        <w:rPr>
          <w:rFonts w:ascii="黑体" w:eastAsia="黑体"/>
          <w:sz w:val="30"/>
        </w:rPr>
      </w:pPr>
      <w:bookmarkStart w:id="14" w:name="_Toc525135789"/>
      <w:r>
        <w:rPr>
          <w:rFonts w:hint="eastAsia" w:ascii="黑体" w:eastAsia="黑体"/>
          <w:sz w:val="30"/>
        </w:rPr>
        <w:t>第七章货物需求一览表及技术规格</w:t>
      </w:r>
      <w:bookmarkEnd w:id="14"/>
    </w:p>
    <w:p>
      <w:pPr>
        <w:pStyle w:val="2"/>
        <w:numPr>
          <w:ilvl w:val="0"/>
          <w:numId w:val="0"/>
        </w:numPr>
        <w:spacing w:line="360" w:lineRule="auto"/>
        <w:rPr>
          <w:rFonts w:ascii="仿宋_GB2312" w:hAnsi="宋体" w:eastAsia="仿宋_GB2312"/>
          <w:b/>
          <w:sz w:val="32"/>
          <w:szCs w:val="32"/>
        </w:rPr>
      </w:pPr>
      <w:bookmarkStart w:id="15" w:name="_Toc159998018"/>
      <w:r>
        <w:rPr>
          <w:rFonts w:hint="eastAsia" w:ascii="仿宋_GB2312" w:hAnsi="宋体" w:eastAsia="仿宋_GB2312"/>
          <w:b/>
          <w:sz w:val="32"/>
          <w:szCs w:val="32"/>
        </w:rPr>
        <w:t>一、货物需求概况</w:t>
      </w:r>
    </w:p>
    <w:p>
      <w:pPr>
        <w:pStyle w:val="35"/>
        <w:spacing w:before="0" w:after="0"/>
        <w:jc w:val="left"/>
        <w:rPr>
          <w:rFonts w:ascii="仿宋_GB2312" w:hAnsi="宋体"/>
          <w:sz w:val="28"/>
          <w:szCs w:val="28"/>
        </w:rPr>
      </w:pPr>
      <w:r>
        <w:rPr>
          <w:rFonts w:ascii="仿宋_GB2312" w:hAnsi="宋体"/>
          <w:sz w:val="28"/>
          <w:szCs w:val="28"/>
        </w:rPr>
        <w:t>1</w:t>
      </w:r>
      <w:r>
        <w:rPr>
          <w:rFonts w:hint="eastAsia" w:ascii="仿宋_GB2312" w:hAnsi="宋体"/>
          <w:sz w:val="28"/>
          <w:szCs w:val="28"/>
        </w:rPr>
        <w:t>．项目概况</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.1项目名称：中国重汽集团济南动力有限公司变速箱</w:t>
      </w:r>
      <w:r>
        <w:rPr>
          <w:rFonts w:hint="eastAsia" w:ascii="宋体" w:hAnsi="宋体"/>
          <w:sz w:val="24"/>
          <w:szCs w:val="24"/>
          <w:lang w:eastAsia="zh-CN"/>
        </w:rPr>
        <w:t>总成架改制（提高支撑）</w:t>
      </w:r>
      <w:r>
        <w:rPr>
          <w:rFonts w:hint="eastAsia" w:ascii="宋体" w:hAnsi="宋体"/>
          <w:sz w:val="24"/>
          <w:szCs w:val="24"/>
        </w:rPr>
        <w:t>项目</w:t>
      </w:r>
      <w:r>
        <w:rPr>
          <w:rFonts w:hint="eastAsia" w:ascii="宋体" w:hAnsi="宋体"/>
          <w:kern w:val="0"/>
          <w:sz w:val="24"/>
          <w:szCs w:val="24"/>
        </w:rPr>
        <w:t>。</w:t>
      </w:r>
    </w:p>
    <w:p>
      <w:pPr>
        <w:spacing w:line="360" w:lineRule="auto"/>
        <w:ind w:firstLine="480" w:firstLineChars="200"/>
        <w:rPr>
          <w:rFonts w:ascii="宋体" w:hAnsi="宋体"/>
          <w:sz w:val="24"/>
          <w:szCs w:val="24"/>
        </w:rPr>
      </w:pPr>
      <w:r>
        <w:rPr>
          <w:rFonts w:hint="eastAsia" w:ascii="宋体" w:hAnsi="宋体"/>
          <w:sz w:val="24"/>
          <w:szCs w:val="24"/>
        </w:rPr>
        <w:t>1.2使用地点：中国重汽集团济南动力有限公司</w:t>
      </w:r>
      <w:r>
        <w:rPr>
          <w:rFonts w:hint="eastAsia"/>
          <w:sz w:val="24"/>
          <w:szCs w:val="21"/>
        </w:rPr>
        <w:t>变速箱厂</w:t>
      </w:r>
      <w:r>
        <w:rPr>
          <w:rFonts w:hint="eastAsia" w:ascii="宋体" w:hAnsi="宋体"/>
          <w:sz w:val="24"/>
          <w:szCs w:val="24"/>
        </w:rPr>
        <w:t>。</w:t>
      </w:r>
    </w:p>
    <w:p>
      <w:pPr>
        <w:pStyle w:val="35"/>
        <w:spacing w:before="0" w:after="0"/>
        <w:jc w:val="left"/>
        <w:rPr>
          <w:rFonts w:ascii="仿宋_GB2312" w:hAnsi="宋体"/>
          <w:sz w:val="28"/>
          <w:szCs w:val="28"/>
        </w:rPr>
      </w:pPr>
      <w:r>
        <w:rPr>
          <w:rFonts w:hint="eastAsia" w:ascii="仿宋_GB2312" w:hAnsi="宋体"/>
          <w:sz w:val="28"/>
          <w:szCs w:val="28"/>
        </w:rPr>
        <w:t>2、货物需求一览表</w:t>
      </w:r>
    </w:p>
    <w:p>
      <w:pPr>
        <w:spacing w:line="360" w:lineRule="auto"/>
        <w:ind w:firstLine="482"/>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货物名称及货物数量</w:t>
      </w:r>
    </w:p>
    <w:tbl>
      <w:tblPr>
        <w:tblStyle w:val="37"/>
        <w:tblW w:w="9286" w:type="dxa"/>
        <w:tblInd w:w="0" w:type="dxa"/>
        <w:tblLayout w:type="fixed"/>
        <w:tblCellMar>
          <w:top w:w="0" w:type="dxa"/>
          <w:left w:w="108" w:type="dxa"/>
          <w:bottom w:w="0" w:type="dxa"/>
          <w:right w:w="108" w:type="dxa"/>
        </w:tblCellMar>
      </w:tblPr>
      <w:tblGrid>
        <w:gridCol w:w="3652"/>
        <w:gridCol w:w="1559"/>
        <w:gridCol w:w="1753"/>
        <w:gridCol w:w="2322"/>
      </w:tblGrid>
      <w:tr>
        <w:tblPrEx>
          <w:tblCellMar>
            <w:top w:w="0" w:type="dxa"/>
            <w:left w:w="108" w:type="dxa"/>
            <w:bottom w:w="0" w:type="dxa"/>
            <w:right w:w="108" w:type="dxa"/>
          </w:tblCellMar>
        </w:tblPrEx>
        <w:trPr>
          <w:trHeight w:val="469" w:hRule="atLeast"/>
        </w:trPr>
        <w:tc>
          <w:tcPr>
            <w:tcW w:w="3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货物名称</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c>
          <w:tcPr>
            <w:tcW w:w="17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拟需求数量</w:t>
            </w:r>
          </w:p>
        </w:tc>
        <w:tc>
          <w:tcPr>
            <w:tcW w:w="23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r>
      <w:tr>
        <w:tblPrEx>
          <w:tblCellMar>
            <w:top w:w="0" w:type="dxa"/>
            <w:left w:w="108" w:type="dxa"/>
            <w:bottom w:w="0" w:type="dxa"/>
            <w:right w:w="108" w:type="dxa"/>
          </w:tblCellMar>
        </w:tblPrEx>
        <w:trPr>
          <w:trHeight w:val="404" w:hRule="atLeast"/>
        </w:trPr>
        <w:tc>
          <w:tcPr>
            <w:tcW w:w="36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总成架支撑提高</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75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3200</w:t>
            </w:r>
          </w:p>
        </w:tc>
        <w:tc>
          <w:tcPr>
            <w:tcW w:w="2322"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据实结算</w:t>
            </w:r>
          </w:p>
        </w:tc>
      </w:tr>
    </w:tbl>
    <w:p>
      <w:pPr>
        <w:spacing w:line="360" w:lineRule="auto"/>
        <w:ind w:firstLine="482"/>
        <w:rPr>
          <w:rFonts w:ascii="宋体" w:hAnsi="宋体"/>
          <w:sz w:val="24"/>
          <w:szCs w:val="24"/>
        </w:rPr>
      </w:pPr>
      <w:r>
        <w:rPr>
          <w:rFonts w:hint="eastAsia" w:ascii="宋体" w:hAnsi="宋体"/>
          <w:sz w:val="24"/>
          <w:szCs w:val="24"/>
        </w:rPr>
        <w:t>备注：</w:t>
      </w:r>
    </w:p>
    <w:p>
      <w:pPr>
        <w:spacing w:line="360" w:lineRule="auto"/>
        <w:ind w:firstLine="482"/>
        <w:rPr>
          <w:rFonts w:hint="eastAsia" w:ascii="宋体" w:hAnsi="宋体" w:eastAsiaTheme="minorEastAsia"/>
          <w:sz w:val="24"/>
          <w:szCs w:val="24"/>
          <w:lang w:eastAsia="zh-CN"/>
        </w:rPr>
      </w:pPr>
      <w:r>
        <w:rPr>
          <w:rFonts w:hint="eastAsia" w:ascii="宋体" w:hAnsi="宋体"/>
          <w:sz w:val="24"/>
          <w:szCs w:val="24"/>
        </w:rPr>
        <w:t>（1）本表所列采购器具仅为供货明细，应配套供货以及招标人所列服务，请投标人认真阅读招标文件相关内容。若有异议，不管是多么微小，都应在投标文件“商务偏离”章节中予以详细说明</w:t>
      </w:r>
      <w:r>
        <w:rPr>
          <w:rFonts w:hint="eastAsia" w:ascii="宋体" w:hAnsi="宋体"/>
          <w:sz w:val="24"/>
          <w:szCs w:val="24"/>
          <w:lang w:eastAsia="zh-CN"/>
        </w:rPr>
        <w:t>。</w:t>
      </w:r>
    </w:p>
    <w:p>
      <w:pPr>
        <w:pStyle w:val="2"/>
        <w:numPr>
          <w:ilvl w:val="0"/>
          <w:numId w:val="0"/>
        </w:numPr>
        <w:spacing w:line="360" w:lineRule="auto"/>
        <w:rPr>
          <w:rFonts w:ascii="仿宋_GB2312" w:hAnsi="宋体" w:eastAsia="仿宋_GB2312"/>
          <w:b/>
          <w:sz w:val="32"/>
          <w:szCs w:val="32"/>
        </w:rPr>
      </w:pPr>
      <w:r>
        <w:rPr>
          <w:rFonts w:hint="eastAsia" w:ascii="仿宋_GB2312" w:hAnsi="宋体" w:eastAsia="仿宋_GB2312"/>
          <w:b/>
          <w:sz w:val="32"/>
          <w:szCs w:val="32"/>
        </w:rPr>
        <w:t>二、技术要求</w:t>
      </w:r>
    </w:p>
    <w:bookmarkEnd w:id="15"/>
    <w:p>
      <w:pPr>
        <w:pStyle w:val="2"/>
        <w:numPr>
          <w:ilvl w:val="0"/>
          <w:numId w:val="0"/>
        </w:numPr>
        <w:spacing w:line="480" w:lineRule="exact"/>
        <w:rPr>
          <w:rFonts w:cs="宋体"/>
          <w:b/>
          <w:sz w:val="24"/>
          <w:szCs w:val="21"/>
        </w:rPr>
      </w:pPr>
      <w:bookmarkStart w:id="16" w:name="_Toc159998024"/>
      <w:r>
        <w:rPr>
          <w:rFonts w:hint="eastAsia" w:cs="宋体"/>
          <w:b/>
          <w:sz w:val="24"/>
          <w:szCs w:val="21"/>
        </w:rPr>
        <w:t>1.招标基本要求</w:t>
      </w:r>
    </w:p>
    <w:p>
      <w:pPr>
        <w:spacing w:line="360" w:lineRule="auto"/>
        <w:ind w:firstLine="480" w:firstLineChars="200"/>
        <w:rPr>
          <w:rFonts w:ascii="宋体" w:hAnsi="宋体"/>
          <w:sz w:val="24"/>
          <w:szCs w:val="24"/>
        </w:rPr>
      </w:pPr>
      <w:r>
        <w:rPr>
          <w:rFonts w:hint="eastAsia" w:ascii="宋体" w:hAnsi="宋体"/>
          <w:sz w:val="24"/>
          <w:szCs w:val="24"/>
        </w:rPr>
        <w:t>1.1 投标人所供器具（或材料），必须符合中国最新版的法律、法规和相关标准、规范的要求，符合项目所在地政府有关特殊要求；</w:t>
      </w:r>
    </w:p>
    <w:p>
      <w:pPr>
        <w:spacing w:line="360" w:lineRule="auto"/>
        <w:ind w:firstLine="480" w:firstLineChars="200"/>
        <w:rPr>
          <w:rFonts w:ascii="宋体" w:hAnsi="宋体"/>
          <w:sz w:val="24"/>
          <w:szCs w:val="24"/>
        </w:rPr>
      </w:pPr>
      <w:r>
        <w:rPr>
          <w:rFonts w:hint="eastAsia" w:ascii="宋体" w:hAnsi="宋体"/>
          <w:sz w:val="24"/>
          <w:szCs w:val="24"/>
        </w:rPr>
        <w:t>1.2 投标人应对招标人提出的各项技术要求统一进行技术（担保）承诺，并保证招标人不因此受到任何侵权指控和实际损失；</w:t>
      </w:r>
    </w:p>
    <w:p>
      <w:pPr>
        <w:spacing w:line="360" w:lineRule="auto"/>
        <w:ind w:firstLine="480" w:firstLineChars="200"/>
        <w:rPr>
          <w:rFonts w:ascii="宋体" w:hAnsi="宋体"/>
          <w:sz w:val="24"/>
          <w:szCs w:val="24"/>
        </w:rPr>
      </w:pPr>
      <w:r>
        <w:rPr>
          <w:rFonts w:hint="eastAsia" w:ascii="宋体" w:hAnsi="宋体"/>
          <w:sz w:val="24"/>
          <w:szCs w:val="24"/>
        </w:rPr>
        <w:t>1.3 投标人应保证所供材料属全新料、保证可靠性、经济性和实用性。</w:t>
      </w:r>
    </w:p>
    <w:p>
      <w:pPr>
        <w:pStyle w:val="2"/>
        <w:numPr>
          <w:ilvl w:val="0"/>
          <w:numId w:val="0"/>
        </w:numPr>
        <w:spacing w:line="440" w:lineRule="exact"/>
        <w:rPr>
          <w:rFonts w:cs="宋体"/>
          <w:b/>
          <w:sz w:val="24"/>
          <w:szCs w:val="21"/>
        </w:rPr>
      </w:pPr>
      <w:r>
        <w:rPr>
          <w:rFonts w:hint="eastAsia" w:cs="宋体"/>
          <w:b/>
          <w:sz w:val="24"/>
          <w:szCs w:val="21"/>
        </w:rPr>
        <w:t>2.设计说明</w:t>
      </w:r>
    </w:p>
    <w:tbl>
      <w:tblPr>
        <w:tblStyle w:val="37"/>
        <w:tblW w:w="9286" w:type="dxa"/>
        <w:tblInd w:w="0" w:type="dxa"/>
        <w:tblLayout w:type="fixed"/>
        <w:tblCellMar>
          <w:top w:w="0" w:type="dxa"/>
          <w:left w:w="108" w:type="dxa"/>
          <w:bottom w:w="0" w:type="dxa"/>
          <w:right w:w="108" w:type="dxa"/>
        </w:tblCellMar>
      </w:tblPr>
      <w:tblGrid>
        <w:gridCol w:w="848"/>
        <w:gridCol w:w="2016"/>
        <w:gridCol w:w="3860"/>
        <w:gridCol w:w="1026"/>
        <w:gridCol w:w="1536"/>
      </w:tblGrid>
      <w:tr>
        <w:tblPrEx>
          <w:tblCellMar>
            <w:top w:w="0" w:type="dxa"/>
            <w:left w:w="108" w:type="dxa"/>
            <w:bottom w:w="0" w:type="dxa"/>
            <w:right w:w="108" w:type="dxa"/>
          </w:tblCellMar>
        </w:tblPrEx>
        <w:trPr>
          <w:trHeight w:val="344" w:hRule="atLeast"/>
        </w:trPr>
        <w:tc>
          <w:tcPr>
            <w:tcW w:w="928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测算明细（济南变速箱</w:t>
            </w:r>
            <w:r>
              <w:rPr>
                <w:rFonts w:hint="eastAsia" w:ascii="宋体" w:hAnsi="宋体" w:eastAsia="宋体" w:cs="宋体"/>
                <w:b/>
                <w:bCs/>
                <w:color w:val="000000"/>
                <w:kern w:val="0"/>
                <w:sz w:val="22"/>
                <w:lang w:val="en-US" w:eastAsia="zh-CN"/>
              </w:rPr>
              <w:t>总成架</w:t>
            </w:r>
            <w:r>
              <w:rPr>
                <w:rFonts w:hint="eastAsia" w:ascii="宋体" w:hAnsi="宋体" w:eastAsia="宋体" w:cs="宋体"/>
                <w:b/>
                <w:bCs/>
                <w:color w:val="000000"/>
                <w:kern w:val="0"/>
                <w:sz w:val="22"/>
              </w:rPr>
              <w:t>）</w:t>
            </w:r>
          </w:p>
        </w:tc>
      </w:tr>
      <w:tr>
        <w:tblPrEx>
          <w:tblCellMar>
            <w:top w:w="0" w:type="dxa"/>
            <w:left w:w="108" w:type="dxa"/>
            <w:bottom w:w="0" w:type="dxa"/>
            <w:right w:w="108" w:type="dxa"/>
          </w:tblCellMar>
        </w:tblPrEx>
        <w:trPr>
          <w:trHeight w:val="90" w:hRule="atLeast"/>
        </w:trPr>
        <w:tc>
          <w:tcPr>
            <w:tcW w:w="8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20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使用部门</w:t>
            </w:r>
          </w:p>
        </w:tc>
        <w:tc>
          <w:tcPr>
            <w:tcW w:w="3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器具名称</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测算数量</w:t>
            </w:r>
          </w:p>
        </w:tc>
        <w:tc>
          <w:tcPr>
            <w:tcW w:w="1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704" w:hRule="atLeast"/>
        </w:trPr>
        <w:tc>
          <w:tcPr>
            <w:tcW w:w="8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济南变速箱厂</w:t>
            </w:r>
          </w:p>
        </w:tc>
        <w:tc>
          <w:tcPr>
            <w:tcW w:w="3860" w:type="dxa"/>
            <w:tcBorders>
              <w:top w:val="nil"/>
              <w:left w:val="nil"/>
              <w:bottom w:val="single" w:color="auto" w:sz="4" w:space="0"/>
              <w:right w:val="single" w:color="auto" w:sz="4" w:space="0"/>
            </w:tcBorders>
            <w:shd w:val="clear" w:color="auto" w:fill="auto"/>
            <w:vAlign w:val="center"/>
          </w:tcPr>
          <w:p>
            <w:pPr>
              <w:widowControl/>
              <w:jc w:val="both"/>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变速箱总成架</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themeColor="text1"/>
                <w:kern w:val="0"/>
                <w:sz w:val="22"/>
                <w:lang w:val="en-US" w:eastAsia="zh-CN"/>
              </w:rPr>
            </w:pPr>
            <w:r>
              <w:rPr>
                <w:rFonts w:hint="eastAsia" w:ascii="宋体" w:hAnsi="宋体" w:eastAsia="宋体" w:cs="宋体"/>
                <w:color w:val="000000" w:themeColor="text1"/>
                <w:kern w:val="0"/>
                <w:sz w:val="22"/>
                <w:lang w:val="en-US" w:eastAsia="zh-CN"/>
              </w:rPr>
              <w:t>3200</w:t>
            </w:r>
          </w:p>
        </w:tc>
        <w:tc>
          <w:tcPr>
            <w:tcW w:w="1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line="360" w:lineRule="auto"/>
        <w:rPr>
          <w:rFonts w:ascii="宋体" w:hAnsi="宋体"/>
          <w:sz w:val="24"/>
          <w:szCs w:val="24"/>
        </w:rPr>
      </w:pPr>
    </w:p>
    <w:p>
      <w:pPr>
        <w:pStyle w:val="55"/>
        <w:numPr>
          <w:ilvl w:val="0"/>
          <w:numId w:val="8"/>
        </w:numPr>
        <w:spacing w:line="480" w:lineRule="exact"/>
        <w:ind w:firstLine="480"/>
        <w:rPr>
          <w:rFonts w:hint="eastAsia" w:cs="宋体"/>
          <w:b/>
          <w:sz w:val="24"/>
          <w:szCs w:val="21"/>
          <w:lang w:val="en-US" w:eastAsia="zh-CN"/>
        </w:rPr>
      </w:pPr>
      <w:bookmarkStart w:id="17" w:name="_Toc44953433"/>
      <w:r>
        <w:rPr>
          <w:rFonts w:hint="eastAsia" w:cs="宋体"/>
          <w:b/>
          <w:sz w:val="24"/>
          <w:szCs w:val="21"/>
          <w:lang w:val="en-US" w:eastAsia="zh-CN"/>
        </w:rPr>
        <w:t>总成架支撑提高要求</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3.1 主体框架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主体框架金属材料原则上采用 GB/T 6728 冷弯方形、矩形空心型钢，GB/T 706 热轧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槽钢设计。变速箱总成存放架用于长途运输且重量较重的产品件，优先选用 </w:t>
      </w:r>
    </w:p>
    <w:p>
      <w:pPr>
        <w:keepNext w:val="0"/>
        <w:keepLines w:val="0"/>
        <w:widowControl/>
        <w:suppressLineNumbers w:val="0"/>
        <w:jc w:val="left"/>
        <w:rPr>
          <w:rFonts w:hint="eastAsia" w:cs="宋体"/>
          <w:b/>
          <w:sz w:val="24"/>
          <w:szCs w:val="21"/>
          <w:lang w:val="en-US" w:eastAsia="zh-CN"/>
        </w:rPr>
      </w:pPr>
      <w:r>
        <w:rPr>
          <w:rFonts w:hint="eastAsia" w:ascii="宋体" w:hAnsi="宋体" w:eastAsia="宋体" w:cs="宋体"/>
          <w:color w:val="000000"/>
          <w:kern w:val="0"/>
          <w:sz w:val="24"/>
          <w:szCs w:val="24"/>
          <w:lang w:val="en-US" w:eastAsia="zh-CN" w:bidi="ar"/>
        </w:rPr>
        <w:t>50mm*50mm*4mm 方管。</w:t>
      </w:r>
    </w:p>
    <w:p>
      <w:pPr>
        <w:pStyle w:val="55"/>
        <w:numPr>
          <w:ilvl w:val="0"/>
          <w:numId w:val="0"/>
        </w:numPr>
        <w:spacing w:line="480" w:lineRule="exact"/>
        <w:rPr>
          <w:rFonts w:hint="default" w:cs="宋体"/>
          <w:b/>
          <w:sz w:val="24"/>
          <w:szCs w:val="21"/>
          <w:lang w:val="en-US" w:eastAsia="zh-CN"/>
        </w:rPr>
      </w:pPr>
      <w:r>
        <w:rPr>
          <w:rFonts w:hint="eastAsia" w:cs="宋体"/>
          <w:b/>
          <w:sz w:val="24"/>
          <w:szCs w:val="21"/>
          <w:lang w:val="en-US" w:eastAsia="zh-CN"/>
        </w:rPr>
        <w:t>3.2如图中红圈处，变速箱厂现有3200个变速箱总成架需提高此位置，原高度为10-11cm，需提高至15-16cm。注：提高5cm钢管不可直接焊接在原钢管上，需新增15-16cm整料钢管焊接。</w:t>
      </w:r>
    </w:p>
    <w:p>
      <w:pPr>
        <w:pStyle w:val="2"/>
        <w:numPr>
          <w:ilvl w:val="0"/>
          <w:numId w:val="0"/>
        </w:numPr>
        <w:spacing w:line="360" w:lineRule="auto"/>
        <w:rPr>
          <w:rFonts w:hint="default" w:cs="宋体"/>
          <w:b/>
          <w:sz w:val="24"/>
          <w:szCs w:val="21"/>
          <w:lang w:val="en-US" w:eastAsia="zh-CN"/>
        </w:rPr>
      </w:pPr>
      <w:r>
        <w:rPr>
          <w:sz w:val="24"/>
        </w:rPr>
        <w:pict>
          <v:shape id="_x0000_s2064" o:spid="_x0000_s2064" o:spt="3" type="#_x0000_t3" style="position:absolute;left:0pt;margin-left:122.9pt;margin-top:114.55pt;height:60pt;width:64.6pt;z-index:251659264;mso-width-relative:page;mso-height-relative:page;" filled="f" stroked="t" coordsize="21600,21600">
            <v:path/>
            <v:fill on="f" focussize="0,0"/>
            <v:stroke color="#FF0000"/>
            <v:imagedata o:title=""/>
            <o:lock v:ext="edit" aspectratio="f"/>
          </v:shape>
        </w:pict>
      </w:r>
      <w:r>
        <w:rPr>
          <w:rFonts w:hint="default" w:cs="宋体"/>
          <w:b/>
          <w:sz w:val="24"/>
          <w:szCs w:val="21"/>
          <w:lang w:val="en-US" w:eastAsia="zh-CN"/>
        </w:rPr>
        <w:drawing>
          <wp:inline distT="0" distB="0" distL="114300" distR="114300">
            <wp:extent cx="3690620" cy="2460625"/>
            <wp:effectExtent l="0" t="0" r="5080" b="3175"/>
            <wp:docPr id="1" name="图片 1" descr="209be389609b9a55c6db3c2dd0fcf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9be389609b9a55c6db3c2dd0fcfff"/>
                    <pic:cNvPicPr>
                      <a:picLocks noChangeAspect="1"/>
                    </pic:cNvPicPr>
                  </pic:nvPicPr>
                  <pic:blipFill>
                    <a:blip r:embed="rId10"/>
                    <a:stretch>
                      <a:fillRect/>
                    </a:stretch>
                  </pic:blipFill>
                  <pic:spPr>
                    <a:xfrm>
                      <a:off x="0" y="0"/>
                      <a:ext cx="3690620" cy="2460625"/>
                    </a:xfrm>
                    <a:prstGeom prst="rect">
                      <a:avLst/>
                    </a:prstGeom>
                  </pic:spPr>
                </pic:pic>
              </a:graphicData>
            </a:graphic>
          </wp:inline>
        </w:drawing>
      </w:r>
    </w:p>
    <w:p>
      <w:pPr>
        <w:numPr>
          <w:ilvl w:val="0"/>
          <w:numId w:val="0"/>
        </w:numPr>
        <w:rPr>
          <w:rFonts w:hint="eastAsia" w:cs="宋体"/>
          <w:b/>
          <w:sz w:val="24"/>
          <w:szCs w:val="21"/>
          <w:lang w:val="en-US" w:eastAsia="zh-CN"/>
        </w:rPr>
      </w:pPr>
      <w:r>
        <w:rPr>
          <w:rFonts w:hint="eastAsia" w:cs="宋体"/>
          <w:b/>
          <w:sz w:val="24"/>
          <w:szCs w:val="21"/>
          <w:lang w:val="en-US" w:eastAsia="zh-CN"/>
        </w:rPr>
        <w:t>3、3其他改制点</w:t>
      </w:r>
    </w:p>
    <w:p>
      <w:pPr>
        <w:numPr>
          <w:ilvl w:val="0"/>
          <w:numId w:val="0"/>
        </w:numPr>
        <w:rPr>
          <w:rFonts w:hint="default" w:ascii="Calibri" w:hAnsi="Calibri" w:eastAsia="宋体" w:cs="宋体"/>
          <w:b/>
          <w:kern w:val="2"/>
          <w:sz w:val="24"/>
          <w:szCs w:val="21"/>
          <w:lang w:val="en-US" w:eastAsia="zh-CN" w:bidi="ar-SA"/>
        </w:rPr>
      </w:pPr>
      <w:r>
        <w:rPr>
          <w:sz w:val="21"/>
        </w:rPr>
        <w:pict>
          <v:shape id="_x0000_s2065" o:spid="_x0000_s2065" o:spt="3" type="#_x0000_t3" style="position:absolute;left:0pt;margin-left:92.5pt;margin-top:55.95pt;height:58.5pt;width:69.25pt;z-index:251660288;mso-width-relative:page;mso-height-relative:page;" filled="f" stroked="t" coordsize="21600,21600">
            <v:path/>
            <v:fill on="f" focussize="0,0"/>
            <v:stroke color="#FF0000"/>
            <v:imagedata o:title=""/>
            <o:lock v:ext="edit" aspectratio="f"/>
          </v:shape>
        </w:pict>
      </w:r>
      <w:r>
        <w:rPr>
          <w:rFonts w:hint="default"/>
          <w:lang w:val="en-US"/>
        </w:rPr>
        <w:drawing>
          <wp:inline distT="0" distB="0" distL="114300" distR="114300">
            <wp:extent cx="2481580" cy="1445895"/>
            <wp:effectExtent l="0" t="0" r="7620" b="1905"/>
            <wp:docPr id="2" name="图片 2" descr="22c8d8cce466156b277a7a89e09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c8d8cce466156b277a7a89e092819"/>
                    <pic:cNvPicPr>
                      <a:picLocks noChangeAspect="1"/>
                    </pic:cNvPicPr>
                  </pic:nvPicPr>
                  <pic:blipFill>
                    <a:blip r:embed="rId11"/>
                    <a:srcRect t="36411" b="36671"/>
                    <a:stretch>
                      <a:fillRect/>
                    </a:stretch>
                  </pic:blipFill>
                  <pic:spPr>
                    <a:xfrm>
                      <a:off x="0" y="0"/>
                      <a:ext cx="2481580" cy="1445895"/>
                    </a:xfrm>
                    <a:prstGeom prst="rect">
                      <a:avLst/>
                    </a:prstGeom>
                  </pic:spPr>
                </pic:pic>
              </a:graphicData>
            </a:graphic>
          </wp:inline>
        </w:drawing>
      </w:r>
    </w:p>
    <w:p>
      <w:pPr>
        <w:numPr>
          <w:ilvl w:val="0"/>
          <w:numId w:val="0"/>
        </w:numPr>
        <w:rPr>
          <w:rFonts w:hint="eastAsia" w:ascii="Calibri" w:hAnsi="Calibri" w:eastAsia="宋体" w:cs="宋体"/>
          <w:b/>
          <w:kern w:val="2"/>
          <w:sz w:val="24"/>
          <w:szCs w:val="21"/>
          <w:lang w:val="en-US" w:eastAsia="zh-CN" w:bidi="ar-SA"/>
        </w:rPr>
      </w:pPr>
      <w:r>
        <w:rPr>
          <w:rFonts w:hint="eastAsia" w:ascii="Calibri" w:hAnsi="Calibri" w:eastAsia="宋体" w:cs="宋体"/>
          <w:b/>
          <w:kern w:val="2"/>
          <w:sz w:val="24"/>
          <w:szCs w:val="21"/>
          <w:lang w:val="en-US" w:eastAsia="zh-CN" w:bidi="ar-SA"/>
        </w:rPr>
        <w:t>如图：共800件总成架需将图中红圈中标识牌进行切割。</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3.4 喷涂要求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喷涂范围及颜色要求</w:t>
      </w:r>
    </w:p>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喷涂范围：总成架支撑提高钢管喷漆，焊接处需补漆。所有喷涂应选用外观颜色为浅灰色 RAL7035漆。</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3.5 制作规范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3.5.1 喷涂要求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表面处理选用喷塑方式，亚光，膜厚 80μm -12μm。漆膜附着力测试参照 GB/T 9286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中的测试方法执行，要求测试等级达到 0～1 级。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局部补漆要求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打磨:先对需要补漆的部位进行打磨，打磨要将该区域原有漆面全部去除干净，露出器具钢材底色，打磨区域的直径适当扩大 5-10mm。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清理:对打磨位置进行清理，确保无污渍。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喷漆:对需喷漆部位附近区域进行遮挡。喷涂底漆一遍，面漆两遍，底漆厚度为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20um-30um，涂层总厚度为 80-120um。对打磨部位全覆盖，对边缘位置适当扩大范围。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自然冷却:将器具置于自然环境下冷却。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检验:检测器具补漆位置的漆膜厚度 80-120um。对不喷涂的部位和非金属件、镀层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件，在喷涂时应采取保护措施。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喷涂前用机械方法对焊接件及需要喷涂的部件的暴露面进行清理，去除所有焊渣、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锈迹、油污及其他杂物，使部件表面洁净、干燥，喷涂之前需进行除锈除油等表面处理。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装配的组件在装配前完成所有喷涂，装配完成后，磕碰划伤表面单独修补。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所有漆层应平整均匀，色泽鲜明，无色差，分界齐，不允许有气泡、皱皮、脱漆、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露底、污痕、挂流、针孔、颗粒等缺陷。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标识字迹喷涂应在最后一遍面漆完成以后进行。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3.5.2 加工要求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变速箱总成架支撑提升部位表面应光滑，钢管的切割、焊接等处必须进行磨光处理，做到无毛刺，与存放产品件表面接触妥贴。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与零件接触的外表面不允许有可能损伤零件的硬物。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所有管材开口处必须</w:t>
      </w:r>
      <w:r>
        <w:rPr>
          <w:rFonts w:hint="eastAsia" w:ascii="宋体" w:hAnsi="宋体" w:eastAsia="宋体" w:cs="宋体"/>
          <w:color w:val="FF0000"/>
          <w:kern w:val="0"/>
          <w:sz w:val="24"/>
          <w:szCs w:val="24"/>
          <w:lang w:val="en-US" w:eastAsia="zh-CN" w:bidi="ar"/>
        </w:rPr>
        <w:t>完全</w:t>
      </w:r>
      <w:r>
        <w:rPr>
          <w:rFonts w:hint="eastAsia" w:ascii="宋体" w:hAnsi="宋体" w:eastAsia="宋体" w:cs="宋体"/>
          <w:color w:val="000000"/>
          <w:kern w:val="0"/>
          <w:sz w:val="24"/>
          <w:szCs w:val="24"/>
          <w:lang w:val="en-US" w:eastAsia="zh-CN" w:bidi="ar"/>
        </w:rPr>
        <w:t xml:space="preserve">封闭；所有的棱边要去毛刺，倒角。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3.5.3 焊接要求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焊接时焊缝要求四面满焊，接口平齐，不允许有气孔、焊瘤、裂纹、焊穿、漏焊等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缺陷，发现缺陷及时修补。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焊缝坡口型式和尺寸，应以 GB/T 985 所有部分标准要求选用；坡口加工优先采用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机械加工，应保证焊缝坡口处平整、无毛刺。</w:t>
      </w:r>
    </w:p>
    <w:p>
      <w:pPr>
        <w:keepNext w:val="0"/>
        <w:keepLines w:val="0"/>
        <w:widowControl/>
        <w:suppressLineNumbers w:val="0"/>
        <w:jc w:val="left"/>
        <w:rPr>
          <w:rFonts w:hint="default" w:ascii="宋体" w:hAnsi="宋体" w:eastAsia="宋体" w:cs="宋体"/>
          <w:color w:val="000000"/>
          <w:kern w:val="0"/>
          <w:sz w:val="24"/>
          <w:szCs w:val="24"/>
          <w:lang w:val="en-US" w:eastAsia="zh-CN" w:bidi="ar"/>
        </w:rPr>
      </w:pPr>
    </w:p>
    <w:p>
      <w:pPr>
        <w:pStyle w:val="2"/>
        <w:numPr>
          <w:ilvl w:val="0"/>
          <w:numId w:val="0"/>
        </w:numPr>
        <w:spacing w:line="360" w:lineRule="auto"/>
        <w:rPr>
          <w:rFonts w:ascii="仿宋_GB2312" w:hAnsi="宋体" w:eastAsia="仿宋_GB2312"/>
          <w:b/>
          <w:sz w:val="32"/>
          <w:szCs w:val="32"/>
        </w:rPr>
      </w:pPr>
      <w:r>
        <w:rPr>
          <w:rFonts w:hint="eastAsia" w:ascii="仿宋_GB2312" w:hAnsi="宋体" w:eastAsia="仿宋_GB2312"/>
          <w:b/>
          <w:sz w:val="32"/>
          <w:szCs w:val="32"/>
        </w:rPr>
        <w:t>三、供货范围及要求</w:t>
      </w:r>
      <w:bookmarkEnd w:id="17"/>
    </w:p>
    <w:p>
      <w:pPr>
        <w:spacing w:line="360" w:lineRule="auto"/>
        <w:rPr>
          <w:rFonts w:ascii="宋体" w:hAnsi="宋体"/>
          <w:b/>
          <w:bCs/>
          <w:sz w:val="24"/>
          <w:szCs w:val="24"/>
        </w:rPr>
      </w:pPr>
      <w:r>
        <w:rPr>
          <w:rFonts w:hint="eastAsia" w:ascii="宋体" w:hAnsi="宋体"/>
          <w:b/>
          <w:bCs/>
          <w:sz w:val="24"/>
          <w:szCs w:val="24"/>
        </w:rPr>
        <w:t>1.供货地点</w:t>
      </w:r>
    </w:p>
    <w:p>
      <w:pPr>
        <w:spacing w:line="360" w:lineRule="auto"/>
        <w:ind w:firstLine="480" w:firstLineChars="200"/>
        <w:rPr>
          <w:rFonts w:ascii="宋体" w:hAnsi="宋体"/>
          <w:sz w:val="24"/>
          <w:szCs w:val="24"/>
          <w:u w:val="single"/>
        </w:rPr>
      </w:pPr>
      <w:r>
        <w:rPr>
          <w:rFonts w:hint="eastAsia" w:ascii="宋体" w:hAnsi="宋体"/>
          <w:sz w:val="24"/>
          <w:szCs w:val="24"/>
          <w:u w:val="single"/>
        </w:rPr>
        <w:t>中国重汽集团</w:t>
      </w:r>
      <w:r>
        <w:rPr>
          <w:rFonts w:hint="eastAsia"/>
          <w:sz w:val="24"/>
          <w:szCs w:val="21"/>
          <w:u w:val="single"/>
        </w:rPr>
        <w:t>济南动力有限公司变速箱厂</w:t>
      </w:r>
      <w:r>
        <w:rPr>
          <w:rFonts w:hint="eastAsia" w:ascii="宋体" w:hAnsi="宋体"/>
          <w:bCs/>
          <w:sz w:val="24"/>
          <w:szCs w:val="24"/>
          <w:u w:val="single"/>
        </w:rPr>
        <w:t>或买方指定地点</w:t>
      </w:r>
      <w:r>
        <w:rPr>
          <w:rFonts w:hint="eastAsia" w:ascii="宋体" w:hAnsi="宋体"/>
          <w:sz w:val="24"/>
          <w:szCs w:val="24"/>
          <w:u w:val="single"/>
        </w:rPr>
        <w:t>。</w:t>
      </w:r>
    </w:p>
    <w:p>
      <w:pPr>
        <w:spacing w:line="360" w:lineRule="auto"/>
        <w:jc w:val="left"/>
        <w:rPr>
          <w:rFonts w:ascii="宋体" w:hAnsi="宋体"/>
        </w:rPr>
      </w:pPr>
      <w:r>
        <w:rPr>
          <w:rFonts w:hint="eastAsia" w:ascii="宋体" w:hAnsi="宋体"/>
          <w:b/>
          <w:bCs/>
          <w:sz w:val="24"/>
          <w:szCs w:val="24"/>
        </w:rPr>
        <w:t>2.供货时间</w:t>
      </w:r>
    </w:p>
    <w:p>
      <w:pPr>
        <w:spacing w:line="360" w:lineRule="auto"/>
        <w:ind w:firstLine="480" w:firstLineChars="200"/>
        <w:rPr>
          <w:rFonts w:ascii="Times New Roman" w:hAnsi="宋体" w:cs="Times New Roman"/>
          <w:sz w:val="24"/>
          <w:szCs w:val="24"/>
        </w:rPr>
      </w:pPr>
      <w:r>
        <w:rPr>
          <w:rFonts w:hint="eastAsia" w:ascii="Times New Roman" w:hAnsi="Times New Roman" w:cs="Times New Roman"/>
          <w:sz w:val="24"/>
          <w:szCs w:val="24"/>
          <w:highlight w:val="yellow"/>
        </w:rPr>
        <w:t>所有货物需202</w:t>
      </w:r>
      <w:r>
        <w:rPr>
          <w:rFonts w:hint="eastAsia" w:ascii="Times New Roman" w:hAnsi="Times New Roman" w:cs="Times New Roman"/>
          <w:sz w:val="24"/>
          <w:szCs w:val="24"/>
          <w:highlight w:val="yellow"/>
          <w:lang w:val="en-US" w:eastAsia="zh-CN"/>
        </w:rPr>
        <w:t>3</w:t>
      </w:r>
      <w:r>
        <w:rPr>
          <w:rFonts w:hint="eastAsia" w:ascii="Times New Roman" w:hAnsi="Times New Roman" w:cs="Times New Roman"/>
          <w:sz w:val="24"/>
          <w:szCs w:val="24"/>
          <w:highlight w:val="yellow"/>
        </w:rPr>
        <w:t>年</w:t>
      </w:r>
      <w:r>
        <w:rPr>
          <w:rFonts w:hint="eastAsia" w:ascii="Times New Roman" w:hAnsi="Times New Roman" w:cs="Times New Roman"/>
          <w:sz w:val="24"/>
          <w:szCs w:val="24"/>
          <w:highlight w:val="yellow"/>
          <w:lang w:val="en-US" w:eastAsia="zh-CN"/>
        </w:rPr>
        <w:t>7</w:t>
      </w:r>
      <w:r>
        <w:rPr>
          <w:rFonts w:hint="eastAsia" w:ascii="Times New Roman" w:hAnsi="Times New Roman" w:cs="Times New Roman"/>
          <w:sz w:val="24"/>
          <w:szCs w:val="24"/>
          <w:highlight w:val="yellow"/>
        </w:rPr>
        <w:t>月</w:t>
      </w:r>
      <w:r>
        <w:rPr>
          <w:rFonts w:hint="eastAsia" w:ascii="Times New Roman" w:hAnsi="Times New Roman" w:cs="Times New Roman"/>
          <w:sz w:val="24"/>
          <w:szCs w:val="24"/>
          <w:highlight w:val="yellow"/>
          <w:lang w:val="en-US" w:eastAsia="zh-CN"/>
        </w:rPr>
        <w:t>30</w:t>
      </w:r>
      <w:r>
        <w:rPr>
          <w:rFonts w:hint="eastAsia" w:ascii="Times New Roman" w:hAnsi="Times New Roman" w:cs="Times New Roman"/>
          <w:sz w:val="24"/>
          <w:szCs w:val="24"/>
          <w:highlight w:val="yellow"/>
        </w:rPr>
        <w:t>日前到货，验证满足招标方要求（储备、转运、安全等要求）</w:t>
      </w:r>
      <w:r>
        <w:rPr>
          <w:rFonts w:ascii="Times New Roman" w:hAnsi="宋体" w:cs="Times New Roman"/>
          <w:sz w:val="24"/>
          <w:szCs w:val="24"/>
          <w:highlight w:val="yellow"/>
        </w:rPr>
        <w:t>。</w:t>
      </w:r>
    </w:p>
    <w:p>
      <w:pPr>
        <w:spacing w:line="360" w:lineRule="auto"/>
        <w:rPr>
          <w:rFonts w:ascii="Times New Roman" w:hAnsi="Times New Roman" w:cs="Times New Roman"/>
          <w:b/>
          <w:sz w:val="24"/>
          <w:szCs w:val="24"/>
        </w:rPr>
      </w:pPr>
      <w:r>
        <w:rPr>
          <w:rFonts w:hint="eastAsia" w:ascii="Times New Roman" w:hAnsi="Times New Roman" w:cs="Times New Roman"/>
          <w:b/>
          <w:sz w:val="24"/>
          <w:szCs w:val="24"/>
        </w:rPr>
        <w:t>3、项目整体要求</w:t>
      </w:r>
    </w:p>
    <w:p>
      <w:pPr>
        <w:spacing w:line="520" w:lineRule="exact"/>
        <w:ind w:right="2" w:firstLine="480" w:firstLineChars="200"/>
        <w:rPr>
          <w:rFonts w:ascii="宋体" w:hAnsi="Courier New"/>
          <w:sz w:val="24"/>
        </w:rPr>
      </w:pPr>
      <w:r>
        <w:rPr>
          <w:rFonts w:hint="eastAsia" w:ascii="宋体" w:hAnsi="Courier New"/>
          <w:sz w:val="24"/>
        </w:rPr>
        <w:t>3.1招标人提供</w:t>
      </w:r>
      <w:r>
        <w:rPr>
          <w:rFonts w:hint="eastAsia" w:ascii="宋体" w:hAnsi="Courier New"/>
          <w:sz w:val="24"/>
          <w:lang w:val="en-US" w:eastAsia="zh-CN"/>
        </w:rPr>
        <w:t>改制</w:t>
      </w:r>
      <w:r>
        <w:rPr>
          <w:rFonts w:hint="eastAsia" w:ascii="宋体" w:hAnsi="Courier New"/>
          <w:sz w:val="24"/>
        </w:rPr>
        <w:t>方案及图纸，投标人在开标</w:t>
      </w:r>
      <w:r>
        <w:rPr>
          <w:rFonts w:hint="eastAsia" w:ascii="宋体" w:hAnsi="Courier New"/>
          <w:sz w:val="24"/>
          <w:lang w:val="en-US" w:eastAsia="zh-CN"/>
        </w:rPr>
        <w:t>10</w:t>
      </w:r>
      <w:r>
        <w:rPr>
          <w:rFonts w:hint="eastAsia" w:ascii="宋体" w:hAnsi="Courier New"/>
          <w:sz w:val="24"/>
        </w:rPr>
        <w:t>日前通过邮箱联系招标人获得器具</w:t>
      </w:r>
      <w:r>
        <w:rPr>
          <w:rFonts w:hint="eastAsia" w:ascii="宋体" w:hAnsi="Courier New"/>
          <w:sz w:val="24"/>
          <w:lang w:val="en-US" w:eastAsia="zh-CN"/>
        </w:rPr>
        <w:t>改制</w:t>
      </w:r>
      <w:r>
        <w:rPr>
          <w:rFonts w:hint="eastAsia" w:ascii="宋体" w:hAnsi="Courier New"/>
          <w:sz w:val="24"/>
        </w:rPr>
        <w:t>方案及图纸。</w:t>
      </w:r>
    </w:p>
    <w:p>
      <w:pPr>
        <w:spacing w:line="520" w:lineRule="exact"/>
        <w:ind w:right="2" w:firstLine="480" w:firstLineChars="200"/>
        <w:rPr>
          <w:rFonts w:ascii="宋体" w:hAnsi="Courier New"/>
          <w:sz w:val="24"/>
        </w:rPr>
      </w:pPr>
      <w:r>
        <w:rPr>
          <w:rFonts w:hint="eastAsia" w:ascii="宋体" w:hAnsi="Courier New"/>
          <w:sz w:val="24"/>
        </w:rPr>
        <w:t>3.2合同签订后投标人需3日内完成详细进度计划，并提交至招标人进行审核；</w:t>
      </w:r>
    </w:p>
    <w:p>
      <w:pPr>
        <w:spacing w:line="520" w:lineRule="exact"/>
        <w:ind w:right="2" w:firstLine="480" w:firstLineChars="200"/>
        <w:rPr>
          <w:rFonts w:ascii="宋体" w:hAnsi="Courier New"/>
          <w:sz w:val="24"/>
        </w:rPr>
      </w:pPr>
      <w:r>
        <w:rPr>
          <w:rFonts w:hint="eastAsia" w:ascii="宋体" w:hAnsi="Courier New"/>
          <w:sz w:val="24"/>
        </w:rPr>
        <w:t>3.3投标人需积极配合招标人完成图纸的多次评审，图纸会签后，3日内投标人必须提交详细的制作计划。</w:t>
      </w:r>
    </w:p>
    <w:p>
      <w:pPr>
        <w:spacing w:line="520" w:lineRule="exact"/>
        <w:ind w:right="2" w:firstLine="480" w:firstLineChars="200"/>
        <w:rPr>
          <w:rFonts w:ascii="宋体" w:hAnsi="Courier New"/>
          <w:sz w:val="24"/>
        </w:rPr>
      </w:pPr>
      <w:r>
        <w:rPr>
          <w:rFonts w:hint="eastAsia" w:ascii="宋体" w:hAnsi="Courier New"/>
          <w:sz w:val="24"/>
        </w:rPr>
        <w:t>3.4投标人每周一提交上周工作进度报告，详细说明该周工作完成的情况并附上相应的器具制作进展图片。</w:t>
      </w:r>
    </w:p>
    <w:p>
      <w:pPr>
        <w:spacing w:line="520" w:lineRule="exact"/>
        <w:ind w:right="2" w:firstLine="480" w:firstLineChars="200"/>
        <w:rPr>
          <w:rFonts w:ascii="宋体" w:hAnsi="Courier New"/>
          <w:sz w:val="24"/>
        </w:rPr>
      </w:pPr>
      <w:r>
        <w:rPr>
          <w:rFonts w:hint="eastAsia" w:ascii="宋体" w:hAnsi="Courier New"/>
          <w:sz w:val="24"/>
        </w:rPr>
        <w:t>3</w:t>
      </w:r>
      <w:r>
        <w:rPr>
          <w:rFonts w:ascii="宋体" w:hAnsi="Courier New"/>
          <w:sz w:val="24"/>
        </w:rPr>
        <w:t>.5</w:t>
      </w:r>
      <w:r>
        <w:rPr>
          <w:rFonts w:hint="eastAsia" w:ascii="宋体" w:hAnsi="Courier New"/>
          <w:sz w:val="24"/>
        </w:rPr>
        <w:t>推进计划要受控，招标人有权根据项目推进进度确定、</w:t>
      </w:r>
      <w:r>
        <w:rPr>
          <w:rFonts w:ascii="宋体" w:hAnsi="Courier New"/>
          <w:sz w:val="24"/>
        </w:rPr>
        <w:t>修改</w:t>
      </w:r>
      <w:r>
        <w:rPr>
          <w:rFonts w:hint="eastAsia" w:ascii="宋体" w:hAnsi="Courier New"/>
          <w:sz w:val="24"/>
        </w:rPr>
        <w:t>先期采购品种、数量、交货地点。</w:t>
      </w:r>
      <w:bookmarkStart w:id="18" w:name="_Toc44953434"/>
    </w:p>
    <w:p>
      <w:pPr>
        <w:pStyle w:val="2"/>
        <w:numPr>
          <w:ilvl w:val="0"/>
          <w:numId w:val="0"/>
        </w:numPr>
        <w:spacing w:line="360" w:lineRule="auto"/>
        <w:rPr>
          <w:rFonts w:ascii="仿宋_GB2312" w:hAnsi="宋体" w:eastAsia="仿宋_GB2312"/>
          <w:b/>
          <w:sz w:val="32"/>
          <w:szCs w:val="32"/>
        </w:rPr>
      </w:pPr>
      <w:r>
        <w:rPr>
          <w:rFonts w:hint="eastAsia" w:ascii="仿宋_GB2312" w:hAnsi="宋体" w:eastAsia="仿宋_GB2312"/>
          <w:b/>
          <w:sz w:val="32"/>
          <w:szCs w:val="32"/>
        </w:rPr>
        <w:t>四、服务范围及要求</w:t>
      </w:r>
      <w:bookmarkEnd w:id="18"/>
    </w:p>
    <w:p>
      <w:pPr>
        <w:spacing w:line="520" w:lineRule="exact"/>
        <w:ind w:right="2" w:firstLine="482" w:firstLineChars="200"/>
        <w:rPr>
          <w:rFonts w:hint="default" w:ascii="宋体" w:hAnsi="Courier New" w:eastAsiaTheme="minorEastAsia"/>
          <w:b/>
          <w:sz w:val="24"/>
          <w:lang w:val="en-US" w:eastAsia="zh-CN"/>
        </w:rPr>
      </w:pPr>
      <w:bookmarkStart w:id="19" w:name="_Toc519526979"/>
      <w:r>
        <w:rPr>
          <w:rFonts w:ascii="宋体" w:hAnsi="Courier New"/>
          <w:b/>
          <w:sz w:val="24"/>
        </w:rPr>
        <w:t>1</w:t>
      </w:r>
      <w:r>
        <w:rPr>
          <w:rFonts w:hint="eastAsia" w:ascii="宋体" w:hAnsi="Courier New"/>
          <w:b/>
          <w:sz w:val="24"/>
        </w:rPr>
        <w:t>.</w:t>
      </w:r>
      <w:bookmarkEnd w:id="19"/>
      <w:r>
        <w:rPr>
          <w:rFonts w:hint="eastAsia" w:ascii="宋体" w:hAnsi="Courier New"/>
          <w:b/>
          <w:sz w:val="24"/>
          <w:lang w:val="en-US" w:eastAsia="zh-CN"/>
        </w:rPr>
        <w:t>方案实施</w:t>
      </w:r>
    </w:p>
    <w:p>
      <w:pPr>
        <w:spacing w:line="520" w:lineRule="exact"/>
        <w:ind w:right="2" w:firstLine="480" w:firstLineChars="200"/>
        <w:rPr>
          <w:rFonts w:ascii="宋体" w:hAnsi="Courier New"/>
          <w:sz w:val="24"/>
        </w:rPr>
      </w:pPr>
      <w:r>
        <w:rPr>
          <w:rFonts w:hint="eastAsia" w:ascii="宋体" w:hAnsi="Courier New"/>
          <w:sz w:val="24"/>
        </w:rPr>
        <w:t>（</w:t>
      </w:r>
      <w:r>
        <w:rPr>
          <w:rFonts w:ascii="宋体" w:hAnsi="Courier New"/>
          <w:sz w:val="24"/>
        </w:rPr>
        <w:t>1</w:t>
      </w:r>
      <w:r>
        <w:rPr>
          <w:rFonts w:hint="eastAsia" w:ascii="宋体" w:hAnsi="Courier New"/>
          <w:sz w:val="24"/>
        </w:rPr>
        <w:t>）招标人向投标人提供相关的产品参数、产品样件以及</w:t>
      </w:r>
      <w:r>
        <w:rPr>
          <w:rFonts w:hint="eastAsia" w:ascii="宋体" w:hAnsi="Courier New"/>
          <w:sz w:val="24"/>
          <w:lang w:val="en-US" w:eastAsia="zh-CN"/>
        </w:rPr>
        <w:t>改制方案</w:t>
      </w:r>
      <w:r>
        <w:rPr>
          <w:rFonts w:hint="eastAsia" w:ascii="宋体" w:hAnsi="Courier New"/>
          <w:sz w:val="24"/>
        </w:rPr>
        <w:t>。投标人对招标人提供的所有产品样件和图纸资料保密，不得以任何方式提供给第三方，如有相关资料外泄，必定追究投标人法律责任。</w:t>
      </w:r>
    </w:p>
    <w:p>
      <w:pPr>
        <w:spacing w:line="520" w:lineRule="exact"/>
        <w:ind w:right="2" w:firstLine="480" w:firstLineChars="200"/>
        <w:rPr>
          <w:rFonts w:ascii="宋体" w:hAnsi="Courier New"/>
          <w:sz w:val="24"/>
        </w:rPr>
      </w:pPr>
      <w:r>
        <w:rPr>
          <w:rFonts w:hint="eastAsia" w:ascii="宋体" w:hAnsi="Courier New"/>
          <w:sz w:val="24"/>
        </w:rPr>
        <w:t>（</w:t>
      </w:r>
      <w:r>
        <w:rPr>
          <w:rFonts w:ascii="宋体" w:hAnsi="Courier New"/>
          <w:sz w:val="24"/>
        </w:rPr>
        <w:t>2</w:t>
      </w:r>
      <w:r>
        <w:rPr>
          <w:rFonts w:hint="eastAsia" w:ascii="宋体" w:hAnsi="Courier New"/>
          <w:sz w:val="24"/>
        </w:rPr>
        <w:t>）</w:t>
      </w:r>
      <w:r>
        <w:rPr>
          <w:rFonts w:hint="eastAsia" w:ascii="宋体" w:hAnsi="Courier New"/>
          <w:sz w:val="24"/>
          <w:lang w:val="en-US" w:eastAsia="zh-CN"/>
        </w:rPr>
        <w:t>投标人按照招标人方案改制，</w:t>
      </w:r>
      <w:r>
        <w:rPr>
          <w:rFonts w:hint="eastAsia" w:ascii="宋体" w:hAnsi="Courier New"/>
          <w:sz w:val="24"/>
        </w:rPr>
        <w:t>器具加工前变更不收费</w:t>
      </w:r>
      <w:r>
        <w:rPr>
          <w:rFonts w:hint="eastAsia" w:ascii="宋体" w:hAnsi="Courier New"/>
          <w:sz w:val="24"/>
          <w:lang w:eastAsia="zh-CN"/>
        </w:rPr>
        <w:t>。</w:t>
      </w:r>
      <w:r>
        <w:rPr>
          <w:rFonts w:hint="eastAsia" w:ascii="宋体" w:hAnsi="Courier New"/>
          <w:sz w:val="24"/>
        </w:rPr>
        <w:t>器具在制作样件过程中招标人提出要求的器具改动时</w:t>
      </w:r>
      <w:r>
        <w:rPr>
          <w:rFonts w:hint="eastAsia" w:ascii="宋体" w:hAnsi="Courier New"/>
          <w:sz w:val="24"/>
          <w:lang w:eastAsia="zh-CN"/>
        </w:rPr>
        <w:t>（</w:t>
      </w:r>
      <w:r>
        <w:rPr>
          <w:rFonts w:hint="eastAsia" w:ascii="宋体" w:hAnsi="Courier New"/>
          <w:sz w:val="24"/>
          <w:lang w:val="en-US" w:eastAsia="zh-CN"/>
        </w:rPr>
        <w:t>如增加支撑高度</w:t>
      </w:r>
      <w:r>
        <w:rPr>
          <w:rFonts w:hint="eastAsia" w:ascii="宋体" w:hAnsi="Courier New"/>
          <w:sz w:val="24"/>
          <w:lang w:eastAsia="zh-CN"/>
        </w:rPr>
        <w:t>）</w:t>
      </w:r>
      <w:r>
        <w:rPr>
          <w:rFonts w:hint="eastAsia" w:ascii="宋体" w:hAnsi="Courier New"/>
          <w:sz w:val="24"/>
        </w:rPr>
        <w:t>，</w:t>
      </w:r>
      <w:r>
        <w:rPr>
          <w:rFonts w:hint="eastAsia" w:ascii="宋体" w:hAnsi="Courier New"/>
          <w:sz w:val="24"/>
          <w:lang w:val="en-US" w:eastAsia="zh-CN"/>
        </w:rPr>
        <w:t>在不超过本方案新加材料总重量的50%前提下，</w:t>
      </w:r>
      <w:r>
        <w:rPr>
          <w:rFonts w:hint="eastAsia" w:ascii="宋体" w:hAnsi="Courier New"/>
          <w:sz w:val="24"/>
        </w:rPr>
        <w:t>投标人须重新制作样件。</w:t>
      </w:r>
    </w:p>
    <w:p>
      <w:pPr>
        <w:spacing w:line="520" w:lineRule="exact"/>
        <w:ind w:right="2" w:firstLine="480" w:firstLineChars="200"/>
        <w:rPr>
          <w:rFonts w:ascii="宋体" w:hAnsi="Courier New"/>
          <w:sz w:val="24"/>
        </w:rPr>
      </w:pPr>
      <w:r>
        <w:rPr>
          <w:rFonts w:hint="eastAsia" w:ascii="宋体" w:hAnsi="Courier New"/>
          <w:sz w:val="24"/>
        </w:rPr>
        <w:t>（</w:t>
      </w:r>
      <w:r>
        <w:rPr>
          <w:rFonts w:ascii="宋体" w:hAnsi="Courier New"/>
          <w:sz w:val="24"/>
        </w:rPr>
        <w:t>3</w:t>
      </w:r>
      <w:r>
        <w:rPr>
          <w:rFonts w:hint="eastAsia" w:ascii="宋体" w:hAnsi="Courier New"/>
          <w:sz w:val="24"/>
        </w:rPr>
        <w:t>）投标人有责任在项目实施过程中对其正确性、适合性提出修改和完善的意见和建议，但所有修改和完善必须得到招标人的同意。任何偏离，均需书面通知招标人，经过招标人同意后方可实施。</w:t>
      </w:r>
    </w:p>
    <w:p>
      <w:pPr>
        <w:spacing w:line="520" w:lineRule="exact"/>
        <w:ind w:right="2" w:firstLine="482" w:firstLineChars="200"/>
        <w:rPr>
          <w:rFonts w:ascii="宋体" w:hAnsi="Courier New"/>
          <w:b/>
          <w:sz w:val="24"/>
        </w:rPr>
      </w:pPr>
      <w:bookmarkStart w:id="20" w:name="_Toc519526980"/>
      <w:r>
        <w:rPr>
          <w:rFonts w:ascii="宋体" w:hAnsi="Courier New"/>
          <w:b/>
          <w:sz w:val="24"/>
        </w:rPr>
        <w:t>2</w:t>
      </w:r>
      <w:r>
        <w:rPr>
          <w:rFonts w:hint="eastAsia" w:ascii="宋体" w:hAnsi="Courier New"/>
          <w:b/>
          <w:sz w:val="24"/>
        </w:rPr>
        <w:t>.器具制作</w:t>
      </w:r>
      <w:bookmarkEnd w:id="20"/>
    </w:p>
    <w:p>
      <w:pPr>
        <w:spacing w:line="520" w:lineRule="exact"/>
        <w:ind w:right="2" w:firstLine="480" w:firstLineChars="200"/>
        <w:rPr>
          <w:rFonts w:ascii="宋体" w:hAnsi="Courier New"/>
          <w:sz w:val="24"/>
        </w:rPr>
      </w:pPr>
      <w:r>
        <w:rPr>
          <w:rFonts w:hint="eastAsia" w:ascii="宋体" w:hAnsi="Courier New"/>
          <w:sz w:val="24"/>
        </w:rPr>
        <w:t>（1）投标人可进行器具实物制作（</w:t>
      </w:r>
      <w:r>
        <w:rPr>
          <w:rFonts w:ascii="宋体" w:hAnsi="Courier New"/>
          <w:sz w:val="24"/>
        </w:rPr>
        <w:t>标准器具不需要</w:t>
      </w:r>
      <w:r>
        <w:rPr>
          <w:rFonts w:hint="eastAsia" w:ascii="宋体" w:hAnsi="Courier New"/>
          <w:sz w:val="24"/>
        </w:rPr>
        <w:t>会签，</w:t>
      </w:r>
      <w:r>
        <w:rPr>
          <w:rFonts w:ascii="宋体" w:hAnsi="Courier New"/>
          <w:sz w:val="24"/>
        </w:rPr>
        <w:t>可直接制作</w:t>
      </w:r>
      <w:r>
        <w:rPr>
          <w:rFonts w:hint="eastAsia" w:ascii="宋体" w:hAnsi="Courier New"/>
          <w:sz w:val="24"/>
        </w:rPr>
        <w:t>），每一种器具首个样件投标人必须及时交付至招标人进行评审确认，评审内容包括：器具规格、性能、外观是否满足合同规定的要求。评审会签确认合格后，投标人可进行批量制作。</w:t>
      </w:r>
    </w:p>
    <w:p>
      <w:pPr>
        <w:spacing w:line="520" w:lineRule="exact"/>
        <w:ind w:right="2" w:firstLine="480" w:firstLineChars="200"/>
        <w:rPr>
          <w:rFonts w:ascii="宋体" w:hAnsi="Courier New"/>
          <w:sz w:val="24"/>
        </w:rPr>
      </w:pPr>
      <w:r>
        <w:rPr>
          <w:rFonts w:hint="eastAsia" w:ascii="宋体" w:hAnsi="Courier New"/>
          <w:sz w:val="24"/>
        </w:rPr>
        <w:t>（2）投标人在制作过程中发现与招标人要求不符或确实达不到要求的及其它存在的问题，应及时以书面形式通知招标人。</w:t>
      </w:r>
    </w:p>
    <w:p>
      <w:pPr>
        <w:spacing w:line="520" w:lineRule="exact"/>
        <w:ind w:right="2" w:firstLine="482" w:firstLineChars="200"/>
        <w:rPr>
          <w:rFonts w:ascii="宋体" w:hAnsi="Courier New"/>
          <w:b/>
          <w:sz w:val="24"/>
        </w:rPr>
      </w:pPr>
      <w:bookmarkStart w:id="21" w:name="_Toc519526981"/>
      <w:r>
        <w:rPr>
          <w:rFonts w:ascii="宋体" w:hAnsi="Courier New"/>
          <w:b/>
          <w:sz w:val="24"/>
        </w:rPr>
        <w:t>3</w:t>
      </w:r>
      <w:r>
        <w:rPr>
          <w:rFonts w:hint="eastAsia" w:ascii="宋体" w:hAnsi="Courier New"/>
          <w:b/>
          <w:sz w:val="24"/>
        </w:rPr>
        <w:t>.器具运输</w:t>
      </w:r>
      <w:bookmarkEnd w:id="21"/>
    </w:p>
    <w:p>
      <w:pPr>
        <w:spacing w:line="520" w:lineRule="exact"/>
        <w:ind w:right="2" w:firstLine="480" w:firstLineChars="200"/>
        <w:rPr>
          <w:rFonts w:ascii="宋体" w:hAnsi="Courier New"/>
          <w:sz w:val="24"/>
        </w:rPr>
      </w:pPr>
      <w:r>
        <w:rPr>
          <w:rFonts w:hint="eastAsia" w:ascii="宋体" w:hAnsi="Courier New"/>
          <w:sz w:val="24"/>
        </w:rPr>
        <w:t>（1）清单：投标人需提供发货总清单方便招标人核对，提供分箱发货清单方便核对；提供到货验收单以便记录货物状态。</w:t>
      </w:r>
    </w:p>
    <w:p>
      <w:pPr>
        <w:spacing w:line="520" w:lineRule="exact"/>
        <w:ind w:right="2" w:firstLine="480" w:firstLineChars="200"/>
        <w:rPr>
          <w:rFonts w:ascii="宋体" w:hAnsi="Courier New"/>
          <w:sz w:val="24"/>
        </w:rPr>
      </w:pPr>
      <w:r>
        <w:rPr>
          <w:rFonts w:hint="eastAsia" w:ascii="宋体" w:hAnsi="Courier New"/>
          <w:sz w:val="24"/>
        </w:rPr>
        <w:t>（2）投标人应考虑所运输器具、工装稳固牢靠，长途运输，防潮、防雨、防锈、防震、防粗暴装卸，能整体吊装和叉运，确保安全及完整；包装箱体积要符合道路运输要求。</w:t>
      </w:r>
    </w:p>
    <w:p>
      <w:pPr>
        <w:spacing w:line="520" w:lineRule="exact"/>
        <w:ind w:right="2" w:firstLine="480" w:firstLineChars="200"/>
        <w:rPr>
          <w:rFonts w:ascii="宋体" w:hAnsi="Courier New"/>
          <w:sz w:val="24"/>
        </w:rPr>
      </w:pPr>
      <w:r>
        <w:rPr>
          <w:rFonts w:hint="eastAsia" w:ascii="宋体" w:hAnsi="Courier New"/>
          <w:sz w:val="24"/>
        </w:rPr>
        <w:t>（3）投标人负责将产品安全运至合同中指定的交货地点并负责与装卸搬运相关的一切事项。投标人应选择符合合同目的的运输方式，并提前两个工作日告知招标人预计到达时间。</w:t>
      </w:r>
    </w:p>
    <w:p>
      <w:pPr>
        <w:spacing w:line="520" w:lineRule="exact"/>
        <w:ind w:right="2" w:firstLine="482" w:firstLineChars="200"/>
        <w:rPr>
          <w:rFonts w:ascii="宋体" w:hAnsi="Courier New"/>
          <w:b/>
          <w:sz w:val="24"/>
        </w:rPr>
      </w:pPr>
      <w:bookmarkStart w:id="22" w:name="_Toc519526982"/>
      <w:r>
        <w:rPr>
          <w:rFonts w:ascii="宋体" w:hAnsi="Courier New"/>
          <w:b/>
          <w:sz w:val="24"/>
        </w:rPr>
        <w:t>4</w:t>
      </w:r>
      <w:r>
        <w:rPr>
          <w:rFonts w:hint="eastAsia" w:ascii="宋体" w:hAnsi="Courier New"/>
          <w:b/>
          <w:sz w:val="24"/>
        </w:rPr>
        <w:t>.器具交货</w:t>
      </w:r>
      <w:bookmarkEnd w:id="22"/>
    </w:p>
    <w:p>
      <w:pPr>
        <w:spacing w:line="520" w:lineRule="exact"/>
        <w:ind w:right="2" w:firstLine="480" w:firstLineChars="200"/>
        <w:rPr>
          <w:rFonts w:ascii="宋体" w:hAnsi="Courier New"/>
          <w:sz w:val="24"/>
        </w:rPr>
      </w:pPr>
      <w:r>
        <w:rPr>
          <w:rFonts w:hint="eastAsia" w:ascii="宋体" w:hAnsi="Courier New"/>
          <w:sz w:val="24"/>
        </w:rPr>
        <w:t>（1）招标人、投标人双方代表共同目检器具外观、清点器具数量是否与发货单一致，填入《到货验收单》。</w:t>
      </w:r>
    </w:p>
    <w:p>
      <w:pPr>
        <w:spacing w:line="520" w:lineRule="exact"/>
        <w:ind w:right="2" w:firstLine="480" w:firstLineChars="200"/>
        <w:rPr>
          <w:rFonts w:ascii="宋体" w:hAnsi="Courier New"/>
          <w:sz w:val="24"/>
        </w:rPr>
      </w:pPr>
      <w:r>
        <w:rPr>
          <w:rFonts w:hint="eastAsia" w:ascii="宋体" w:hAnsi="Courier New"/>
          <w:sz w:val="24"/>
        </w:rPr>
        <w:t>（2）器具质量和数量的检查按发运清单核对并记入《到货验收单》。</w:t>
      </w:r>
    </w:p>
    <w:p>
      <w:pPr>
        <w:spacing w:line="520" w:lineRule="exact"/>
        <w:ind w:right="2" w:firstLine="482" w:firstLineChars="200"/>
        <w:rPr>
          <w:rFonts w:ascii="宋体" w:hAnsi="Courier New"/>
          <w:b/>
          <w:sz w:val="24"/>
        </w:rPr>
      </w:pPr>
      <w:r>
        <w:rPr>
          <w:rFonts w:ascii="宋体" w:hAnsi="Courier New"/>
          <w:b/>
          <w:sz w:val="24"/>
        </w:rPr>
        <w:t>5</w:t>
      </w:r>
      <w:r>
        <w:rPr>
          <w:rFonts w:hint="eastAsia" w:ascii="宋体" w:hAnsi="Courier New"/>
          <w:b/>
          <w:sz w:val="24"/>
        </w:rPr>
        <w:t>.器具评审验收</w:t>
      </w:r>
    </w:p>
    <w:p>
      <w:pPr>
        <w:spacing w:line="520" w:lineRule="exact"/>
        <w:ind w:right="2" w:firstLine="480" w:firstLineChars="200"/>
        <w:rPr>
          <w:rFonts w:ascii="宋体" w:hAnsi="Courier New"/>
          <w:sz w:val="24"/>
        </w:rPr>
      </w:pPr>
      <w:r>
        <w:rPr>
          <w:rFonts w:hint="eastAsia" w:ascii="宋体" w:hAnsi="Courier New"/>
          <w:sz w:val="24"/>
        </w:rPr>
        <w:t>（1）投标人以书面信函通知招标人，验收前三天书面提交最终版清单。经招标人确认达到预验收条件后即通知投标人组织人员验收，招标人派相应人员参加。</w:t>
      </w:r>
    </w:p>
    <w:p>
      <w:pPr>
        <w:spacing w:line="360" w:lineRule="auto"/>
        <w:ind w:firstLine="480" w:firstLineChars="200"/>
        <w:rPr>
          <w:rFonts w:ascii="宋体" w:hAnsi="宋体"/>
          <w:sz w:val="24"/>
          <w:szCs w:val="24"/>
          <w:u w:val="single"/>
        </w:rPr>
      </w:pPr>
      <w:r>
        <w:rPr>
          <w:rFonts w:hint="eastAsia" w:ascii="宋体" w:hAnsi="Courier New"/>
          <w:sz w:val="24"/>
        </w:rPr>
        <w:t>（2）验收地点：</w:t>
      </w:r>
      <w:r>
        <w:rPr>
          <w:rFonts w:hint="eastAsia" w:ascii="宋体" w:hAnsi="宋体"/>
          <w:sz w:val="24"/>
          <w:szCs w:val="24"/>
        </w:rPr>
        <w:t>中国重型汽车集团</w:t>
      </w:r>
      <w:r>
        <w:rPr>
          <w:rFonts w:hint="eastAsia"/>
          <w:sz w:val="24"/>
          <w:szCs w:val="24"/>
        </w:rPr>
        <w:t>济南变速箱厂</w:t>
      </w:r>
      <w:r>
        <w:rPr>
          <w:rFonts w:hint="eastAsia" w:ascii="宋体" w:hAnsi="宋体"/>
          <w:bCs/>
          <w:sz w:val="24"/>
          <w:szCs w:val="24"/>
        </w:rPr>
        <w:t>或招标人指定地点</w:t>
      </w:r>
      <w:r>
        <w:rPr>
          <w:rFonts w:hint="eastAsia" w:ascii="宋体" w:hAnsi="宋体"/>
          <w:sz w:val="24"/>
          <w:szCs w:val="24"/>
        </w:rPr>
        <w:t>。</w:t>
      </w:r>
    </w:p>
    <w:p>
      <w:pPr>
        <w:spacing w:line="520" w:lineRule="exact"/>
        <w:ind w:right="2" w:firstLine="480" w:firstLineChars="200"/>
        <w:rPr>
          <w:rFonts w:ascii="宋体" w:hAnsi="Courier New"/>
          <w:sz w:val="24"/>
        </w:rPr>
      </w:pPr>
      <w:r>
        <w:rPr>
          <w:rFonts w:hint="eastAsia" w:ascii="宋体" w:hAnsi="Courier New"/>
          <w:sz w:val="24"/>
        </w:rPr>
        <w:t>（3）验收内容：验收合同（含变更）、图纸方案、</w:t>
      </w:r>
      <w:r>
        <w:rPr>
          <w:rFonts w:hint="eastAsia" w:ascii="宋体" w:hAnsi="Courier New"/>
          <w:sz w:val="24"/>
          <w:lang w:val="en-US" w:eastAsia="zh-CN"/>
        </w:rPr>
        <w:t>澄清函</w:t>
      </w:r>
      <w:r>
        <w:rPr>
          <w:rFonts w:hint="eastAsia" w:ascii="宋体" w:hAnsi="Courier New"/>
          <w:sz w:val="24"/>
        </w:rPr>
        <w:t>等文件为依据进行。主要</w:t>
      </w:r>
      <w:r>
        <w:rPr>
          <w:rFonts w:ascii="宋体" w:hAnsi="Courier New"/>
          <w:sz w:val="24"/>
        </w:rPr>
        <w:t>验收内容</w:t>
      </w:r>
      <w:r>
        <w:rPr>
          <w:rFonts w:hint="eastAsia" w:ascii="宋体" w:hAnsi="Courier New"/>
          <w:sz w:val="24"/>
        </w:rPr>
        <w:t>：</w:t>
      </w:r>
      <w:r>
        <w:rPr>
          <w:rFonts w:hint="eastAsia" w:ascii="宋体" w:hAnsi="Courier New"/>
          <w:sz w:val="24"/>
          <w:lang w:val="en-US" w:eastAsia="zh-CN"/>
        </w:rPr>
        <w:t>器具的结构，承载，堆叠等</w:t>
      </w:r>
      <w:r>
        <w:rPr>
          <w:rFonts w:ascii="宋体" w:hAnsi="Courier New"/>
          <w:sz w:val="24"/>
        </w:rPr>
        <w:t>。</w:t>
      </w:r>
    </w:p>
    <w:p>
      <w:pPr>
        <w:spacing w:line="520" w:lineRule="exact"/>
        <w:ind w:right="2" w:firstLine="480" w:firstLineChars="200"/>
        <w:rPr>
          <w:rFonts w:ascii="宋体" w:hAnsi="Courier New"/>
          <w:sz w:val="24"/>
        </w:rPr>
      </w:pPr>
      <w:r>
        <w:rPr>
          <w:rFonts w:hint="eastAsia" w:ascii="宋体" w:hAnsi="Courier New"/>
          <w:sz w:val="24"/>
        </w:rPr>
        <w:t>（4）投标人提供相应的验收用的检测工量具和仪器，器具预验收后，由双方授权代表签署预验收报告书。</w:t>
      </w:r>
    </w:p>
    <w:p>
      <w:pPr>
        <w:spacing w:line="520" w:lineRule="exact"/>
        <w:ind w:right="2" w:firstLine="482" w:firstLineChars="200"/>
        <w:rPr>
          <w:rFonts w:ascii="宋体" w:hAnsi="Courier New"/>
          <w:b/>
          <w:sz w:val="24"/>
        </w:rPr>
      </w:pPr>
      <w:bookmarkStart w:id="23" w:name="_Toc26857"/>
      <w:bookmarkStart w:id="24" w:name="_Toc519526988"/>
      <w:bookmarkStart w:id="25" w:name="_Toc339268557"/>
      <w:bookmarkStart w:id="26" w:name="_Toc12351"/>
      <w:r>
        <w:rPr>
          <w:rFonts w:ascii="宋体" w:hAnsi="Courier New"/>
          <w:b/>
          <w:sz w:val="24"/>
        </w:rPr>
        <w:t>7</w:t>
      </w:r>
      <w:r>
        <w:rPr>
          <w:rFonts w:hint="eastAsia" w:ascii="宋体" w:hAnsi="Courier New"/>
          <w:b/>
          <w:sz w:val="24"/>
        </w:rPr>
        <w:t>.质保及售后服务</w:t>
      </w:r>
      <w:bookmarkEnd w:id="23"/>
      <w:bookmarkEnd w:id="24"/>
    </w:p>
    <w:p>
      <w:pPr>
        <w:spacing w:line="520" w:lineRule="exact"/>
        <w:ind w:right="2" w:firstLine="480" w:firstLineChars="200"/>
        <w:rPr>
          <w:rFonts w:ascii="宋体" w:hAnsi="Courier New"/>
          <w:sz w:val="24"/>
        </w:rPr>
      </w:pPr>
      <w:r>
        <w:rPr>
          <w:rFonts w:hint="eastAsia" w:ascii="宋体" w:hAnsi="Courier New"/>
          <w:sz w:val="24"/>
        </w:rPr>
        <w:t>（1）投标人在招标人现场调试、试生产阶段，须协助招标人技术及物流人员进行器具的使用指导及问题解决。</w:t>
      </w:r>
    </w:p>
    <w:p>
      <w:pPr>
        <w:spacing w:line="520" w:lineRule="exact"/>
        <w:ind w:right="2" w:firstLine="480" w:firstLineChars="200"/>
        <w:rPr>
          <w:rFonts w:ascii="宋体" w:hAnsi="Courier New"/>
          <w:sz w:val="24"/>
        </w:rPr>
      </w:pPr>
      <w:r>
        <w:rPr>
          <w:rFonts w:hint="eastAsia" w:ascii="宋体" w:hAnsi="Courier New"/>
          <w:sz w:val="24"/>
        </w:rPr>
        <w:t>（2）</w:t>
      </w:r>
      <w:r>
        <w:rPr>
          <w:rFonts w:ascii="宋体" w:hAnsi="Courier New"/>
          <w:sz w:val="24"/>
        </w:rPr>
        <w:t>质保期为</w:t>
      </w:r>
      <w:r>
        <w:rPr>
          <w:rFonts w:hint="eastAsia" w:ascii="宋体" w:hAnsi="Courier New"/>
          <w:sz w:val="24"/>
        </w:rPr>
        <w:t>1年</w:t>
      </w:r>
      <w:r>
        <w:rPr>
          <w:rFonts w:ascii="宋体" w:hAnsi="Courier New"/>
          <w:sz w:val="24"/>
        </w:rPr>
        <w:t>。</w:t>
      </w:r>
    </w:p>
    <w:p>
      <w:pPr>
        <w:spacing w:line="520" w:lineRule="exact"/>
        <w:ind w:right="2" w:firstLine="480" w:firstLineChars="200"/>
        <w:rPr>
          <w:rFonts w:ascii="宋体" w:hAnsi="Courier New"/>
          <w:sz w:val="24"/>
        </w:rPr>
      </w:pPr>
      <w:r>
        <w:rPr>
          <w:rFonts w:hint="eastAsia" w:ascii="宋体" w:hAnsi="Courier New"/>
          <w:sz w:val="24"/>
        </w:rPr>
        <w:t>（3）投标人</w:t>
      </w:r>
      <w:r>
        <w:rPr>
          <w:rFonts w:ascii="宋体" w:hAnsi="Courier New"/>
          <w:sz w:val="24"/>
        </w:rPr>
        <w:t>按照合同约定对质保期内的易损件</w:t>
      </w:r>
      <w:r>
        <w:rPr>
          <w:rFonts w:hint="eastAsia" w:ascii="宋体" w:hAnsi="Courier New"/>
          <w:sz w:val="24"/>
        </w:rPr>
        <w:t>、</w:t>
      </w:r>
      <w:r>
        <w:rPr>
          <w:rFonts w:ascii="宋体" w:hAnsi="Courier New"/>
          <w:sz w:val="24"/>
        </w:rPr>
        <w:t>质保许诺</w:t>
      </w:r>
      <w:r>
        <w:rPr>
          <w:rFonts w:hint="eastAsia" w:ascii="宋体" w:hAnsi="Courier New"/>
          <w:sz w:val="24"/>
        </w:rPr>
        <w:t>进行无偿维修</w:t>
      </w:r>
      <w:bookmarkEnd w:id="25"/>
      <w:bookmarkEnd w:id="26"/>
      <w:r>
        <w:rPr>
          <w:rFonts w:hint="eastAsia" w:ascii="宋体" w:hAnsi="Courier New"/>
          <w:sz w:val="24"/>
        </w:rPr>
        <w:t>、</w:t>
      </w:r>
      <w:r>
        <w:rPr>
          <w:rFonts w:ascii="宋体" w:hAnsi="Courier New"/>
          <w:sz w:val="24"/>
        </w:rPr>
        <w:t>维护</w:t>
      </w:r>
      <w:r>
        <w:rPr>
          <w:rFonts w:hint="eastAsia" w:ascii="宋体" w:hAnsi="Courier New"/>
          <w:sz w:val="24"/>
        </w:rPr>
        <w:t>、更换，不能</w:t>
      </w:r>
      <w:r>
        <w:rPr>
          <w:rFonts w:ascii="宋体" w:hAnsi="Courier New"/>
          <w:sz w:val="24"/>
        </w:rPr>
        <w:t>影响招标人使用</w:t>
      </w:r>
      <w:r>
        <w:rPr>
          <w:rFonts w:hint="eastAsia" w:ascii="宋体" w:hAnsi="Courier New"/>
          <w:sz w:val="24"/>
        </w:rPr>
        <w:t>；投标人</w:t>
      </w:r>
      <w:r>
        <w:rPr>
          <w:rFonts w:ascii="宋体" w:hAnsi="Courier New"/>
          <w:sz w:val="24"/>
        </w:rPr>
        <w:t>在</w:t>
      </w:r>
      <w:r>
        <w:rPr>
          <w:rFonts w:hint="eastAsia" w:ascii="宋体" w:hAnsi="Courier New"/>
          <w:sz w:val="24"/>
        </w:rPr>
        <w:t>质保期内至少做</w:t>
      </w:r>
      <w:r>
        <w:rPr>
          <w:rFonts w:ascii="宋体" w:hAnsi="Courier New"/>
          <w:sz w:val="24"/>
        </w:rPr>
        <w:t>一次</w:t>
      </w:r>
      <w:r>
        <w:rPr>
          <w:rFonts w:hint="eastAsia" w:ascii="宋体" w:hAnsi="Courier New"/>
          <w:sz w:val="24"/>
        </w:rPr>
        <w:t>维护处理</w:t>
      </w:r>
      <w:r>
        <w:rPr>
          <w:rFonts w:ascii="宋体" w:hAnsi="Courier New"/>
          <w:sz w:val="24"/>
        </w:rPr>
        <w:t>达到目视化要求</w:t>
      </w:r>
      <w:r>
        <w:rPr>
          <w:rFonts w:hint="eastAsia" w:ascii="宋体" w:hAnsi="Courier New"/>
          <w:sz w:val="24"/>
        </w:rPr>
        <w:t>；器具质保期内出现</w:t>
      </w:r>
      <w:r>
        <w:rPr>
          <w:rFonts w:ascii="宋体" w:hAnsi="Courier New"/>
          <w:sz w:val="24"/>
        </w:rPr>
        <w:t>质量问题</w:t>
      </w:r>
      <w:r>
        <w:rPr>
          <w:rFonts w:hint="eastAsia" w:ascii="宋体" w:hAnsi="Courier New"/>
          <w:sz w:val="24"/>
        </w:rPr>
        <w:t>（非</w:t>
      </w:r>
      <w:r>
        <w:rPr>
          <w:rFonts w:ascii="宋体" w:hAnsi="Courier New"/>
          <w:sz w:val="24"/>
        </w:rPr>
        <w:t>人为损坏</w:t>
      </w:r>
      <w:r>
        <w:rPr>
          <w:rFonts w:hint="eastAsia" w:ascii="宋体" w:hAnsi="Courier New"/>
          <w:sz w:val="24"/>
        </w:rPr>
        <w:t>）必须</w:t>
      </w:r>
      <w:r>
        <w:rPr>
          <w:rFonts w:ascii="宋体" w:hAnsi="Courier New"/>
          <w:sz w:val="24"/>
        </w:rPr>
        <w:t>全部换新</w:t>
      </w:r>
      <w:r>
        <w:rPr>
          <w:rFonts w:hint="eastAsia" w:ascii="宋体" w:hAnsi="Courier New"/>
          <w:sz w:val="24"/>
        </w:rPr>
        <w:t>。</w:t>
      </w:r>
    </w:p>
    <w:p>
      <w:pPr>
        <w:spacing w:line="520" w:lineRule="exact"/>
        <w:ind w:right="2" w:firstLine="480" w:firstLineChars="200"/>
        <w:rPr>
          <w:rFonts w:ascii="宋体" w:hAnsi="Courier New"/>
          <w:sz w:val="24"/>
        </w:rPr>
      </w:pPr>
      <w:r>
        <w:rPr>
          <w:rFonts w:hint="eastAsia" w:ascii="宋体" w:hAnsi="Courier New"/>
          <w:sz w:val="24"/>
        </w:rPr>
        <w:t>（4）质保期外，投标人有义务解答招标人所提出的技术问题并提供技术支持，可提供优质的售后服务及优惠的备件服务。</w:t>
      </w:r>
      <w:bookmarkStart w:id="27" w:name="_Toc24066"/>
    </w:p>
    <w:bookmarkEnd w:id="16"/>
    <w:bookmarkEnd w:id="27"/>
    <w:p>
      <w:pPr>
        <w:spacing w:line="360" w:lineRule="auto"/>
        <w:rPr>
          <w:rFonts w:ascii="宋体" w:hAnsi="宋体"/>
          <w:sz w:val="24"/>
          <w:szCs w:val="24"/>
        </w:rPr>
      </w:pPr>
    </w:p>
    <w:sectPr>
      <w:headerReference r:id="rId8"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KGHNB+Arial">
    <w:altName w:val="仿宋"/>
    <w:panose1 w:val="00000000000000000000"/>
    <w:charset w:val="86"/>
    <w:family w:val="swiss"/>
    <w:pitch w:val="default"/>
    <w:sig w:usb0="00000000" w:usb1="00000000" w:usb2="0000001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1020"/>
      </w:tabs>
      <w:jc w:val="both"/>
      <w:rPr>
        <w:rFonts w:ascii="Arial" w:hAnsi="Arial"/>
      </w:rPr>
    </w:pPr>
    <w:r>
      <w:rPr>
        <w:rFonts w:ascii="Arial" w:hAnsi="Arial"/>
      </w:rPr>
      <w:tab/>
    </w:r>
    <w:r>
      <w:rPr>
        <w:rFonts w:ascii="Arial" w:hAnsi="Arial"/>
      </w:rPr>
      <w:tab/>
    </w:r>
    <w:r>
      <w:rPr>
        <w:rFonts w:ascii="Arial" w:hAnsi="Arial"/>
      </w:rPr>
      <w:t xml:space="preserv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rPr>
      <w:t>14</w:t>
    </w:r>
    <w:r>
      <w:rPr>
        <w:rFonts w:ascii="Arial" w:hAnsi="Arial"/>
      </w:rPr>
      <w:fldChar w:fldCharType="end"/>
    </w:r>
    <w:r>
      <w:rPr>
        <w:rFonts w:ascii="Arial" w:hAnsi="Arial"/>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eastAsia="黑体"/>
        <w:sz w:val="21"/>
      </w:rPr>
      <w:t>招标文件</w:t>
    </w:r>
    <w:r>
      <w:rPr>
        <w:rFonts w:hint="eastAsia"/>
      </w:rPr>
      <w:t>目录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t>投标文件</w:t>
    </w:r>
    <w:r>
      <w:rPr>
        <w:rFonts w:hint="eastAsia"/>
      </w:rPr>
      <w:t>投标</w:t>
    </w:r>
    <w:r>
      <w:t>资料表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t>投标文件合同资料表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t>投标文件</w:t>
    </w:r>
    <w:r>
      <w:rPr>
        <w:rFonts w:hint="eastAsia"/>
      </w:rPr>
      <w:t>货物需求一览表及技术规格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1850E"/>
    <w:multiLevelType w:val="singleLevel"/>
    <w:tmpl w:val="BCA1850E"/>
    <w:lvl w:ilvl="0" w:tentative="0">
      <w:start w:val="3"/>
      <w:numFmt w:val="decimal"/>
      <w:lvlText w:val="%1."/>
      <w:lvlJc w:val="left"/>
      <w:pPr>
        <w:tabs>
          <w:tab w:val="left" w:pos="312"/>
        </w:tabs>
      </w:pPr>
    </w:lvl>
  </w:abstractNum>
  <w:abstractNum w:abstractNumId="1">
    <w:nsid w:val="00000010"/>
    <w:multiLevelType w:val="multilevel"/>
    <w:tmpl w:val="00000010"/>
    <w:lvl w:ilvl="0" w:tentative="0">
      <w:start w:val="1"/>
      <w:numFmt w:val="bullet"/>
      <w:lvlText w:val=""/>
      <w:lvlJc w:val="left"/>
      <w:pPr>
        <w:tabs>
          <w:tab w:val="left" w:pos="1812"/>
        </w:tabs>
        <w:ind w:left="1812" w:hanging="420"/>
      </w:pPr>
      <w:rPr>
        <w:rFonts w:hint="default" w:ascii="Wingdings" w:hAnsi="Wingdings"/>
      </w:rPr>
    </w:lvl>
    <w:lvl w:ilvl="1" w:tentative="0">
      <w:start w:val="1"/>
      <w:numFmt w:val="bullet"/>
      <w:lvlText w:val=""/>
      <w:lvlJc w:val="left"/>
      <w:pPr>
        <w:tabs>
          <w:tab w:val="left" w:pos="1478"/>
        </w:tabs>
        <w:ind w:left="1478" w:hanging="420"/>
      </w:pPr>
      <w:rPr>
        <w:rFonts w:hint="default" w:ascii="Wingdings" w:hAnsi="Wingdings"/>
      </w:rPr>
    </w:lvl>
    <w:lvl w:ilvl="2" w:tentative="0">
      <w:start w:val="1"/>
      <w:numFmt w:val="bullet"/>
      <w:pStyle w:val="32"/>
      <w:lvlText w:val=""/>
      <w:lvlJc w:val="left"/>
      <w:pPr>
        <w:tabs>
          <w:tab w:val="left" w:pos="2652"/>
        </w:tabs>
        <w:ind w:left="2652" w:hanging="420"/>
      </w:pPr>
      <w:rPr>
        <w:rFonts w:hint="default" w:ascii="Wingdings" w:hAnsi="Wingdings"/>
      </w:rPr>
    </w:lvl>
    <w:lvl w:ilvl="3" w:tentative="0">
      <w:start w:val="1"/>
      <w:numFmt w:val="bullet"/>
      <w:lvlText w:val=""/>
      <w:lvlJc w:val="left"/>
      <w:pPr>
        <w:tabs>
          <w:tab w:val="left" w:pos="3072"/>
        </w:tabs>
        <w:ind w:left="3072" w:hanging="420"/>
      </w:pPr>
      <w:rPr>
        <w:rFonts w:hint="default" w:ascii="Wingdings" w:hAnsi="Wingdings"/>
      </w:rPr>
    </w:lvl>
    <w:lvl w:ilvl="4" w:tentative="0">
      <w:start w:val="1"/>
      <w:numFmt w:val="bullet"/>
      <w:lvlText w:val=""/>
      <w:lvlJc w:val="left"/>
      <w:pPr>
        <w:tabs>
          <w:tab w:val="left" w:pos="3492"/>
        </w:tabs>
        <w:ind w:left="3492" w:hanging="420"/>
      </w:pPr>
      <w:rPr>
        <w:rFonts w:hint="default" w:ascii="Wingdings" w:hAnsi="Wingdings"/>
      </w:rPr>
    </w:lvl>
    <w:lvl w:ilvl="5" w:tentative="0">
      <w:start w:val="1"/>
      <w:numFmt w:val="bullet"/>
      <w:lvlText w:val=""/>
      <w:lvlJc w:val="left"/>
      <w:pPr>
        <w:tabs>
          <w:tab w:val="left" w:pos="3912"/>
        </w:tabs>
        <w:ind w:left="3912" w:hanging="420"/>
      </w:pPr>
      <w:rPr>
        <w:rFonts w:hint="default" w:ascii="Wingdings" w:hAnsi="Wingdings"/>
      </w:rPr>
    </w:lvl>
    <w:lvl w:ilvl="6" w:tentative="0">
      <w:start w:val="1"/>
      <w:numFmt w:val="bullet"/>
      <w:lvlText w:val=""/>
      <w:lvlJc w:val="left"/>
      <w:pPr>
        <w:tabs>
          <w:tab w:val="left" w:pos="4332"/>
        </w:tabs>
        <w:ind w:left="4332" w:hanging="420"/>
      </w:pPr>
      <w:rPr>
        <w:rFonts w:hint="default" w:ascii="Wingdings" w:hAnsi="Wingdings"/>
      </w:rPr>
    </w:lvl>
    <w:lvl w:ilvl="7" w:tentative="0">
      <w:start w:val="1"/>
      <w:numFmt w:val="bullet"/>
      <w:lvlText w:val=""/>
      <w:lvlJc w:val="left"/>
      <w:pPr>
        <w:tabs>
          <w:tab w:val="left" w:pos="4752"/>
        </w:tabs>
        <w:ind w:left="4752" w:hanging="420"/>
      </w:pPr>
      <w:rPr>
        <w:rFonts w:hint="default" w:ascii="Wingdings" w:hAnsi="Wingdings"/>
      </w:rPr>
    </w:lvl>
    <w:lvl w:ilvl="8" w:tentative="0">
      <w:start w:val="1"/>
      <w:numFmt w:val="bullet"/>
      <w:lvlText w:val=""/>
      <w:lvlJc w:val="left"/>
      <w:pPr>
        <w:tabs>
          <w:tab w:val="left" w:pos="5172"/>
        </w:tabs>
        <w:ind w:left="5172" w:hanging="420"/>
      </w:pPr>
      <w:rPr>
        <w:rFonts w:hint="default" w:ascii="Wingdings" w:hAnsi="Wingdings"/>
      </w:rPr>
    </w:lvl>
  </w:abstractNum>
  <w:abstractNum w:abstractNumId="2">
    <w:nsid w:val="00000014"/>
    <w:multiLevelType w:val="multilevel"/>
    <w:tmpl w:val="00000014"/>
    <w:lvl w:ilvl="0" w:tentative="0">
      <w:start w:val="1"/>
      <w:numFmt w:val="bullet"/>
      <w:pStyle w:val="80"/>
      <w:lvlText w:val=""/>
      <w:lvlJc w:val="left"/>
      <w:pPr>
        <w:ind w:left="720" w:hanging="360"/>
      </w:pPr>
      <w:rPr>
        <w:rFonts w:hint="default" w:ascii="Symbol" w:hAnsi="Symbol"/>
      </w:rPr>
    </w:lvl>
    <w:lvl w:ilvl="1" w:tentative="0">
      <w:start w:val="1"/>
      <w:numFmt w:val="upperLetter"/>
      <w:pStyle w:val="19"/>
      <w:lvlText w:val="%2."/>
      <w:lvlJc w:val="left"/>
      <w:pPr>
        <w:tabs>
          <w:tab w:val="left" w:pos="-720"/>
        </w:tabs>
        <w:ind w:left="1440" w:hanging="360"/>
      </w:pPr>
      <w:rPr>
        <w:rFonts w:hint="default"/>
      </w:rPr>
    </w:lvl>
    <w:lvl w:ilvl="2" w:tentative="0">
      <w:start w:val="1"/>
      <w:numFmt w:val="bullet"/>
      <w:lvlText w:val=""/>
      <w:lvlJc w:val="left"/>
      <w:pPr>
        <w:tabs>
          <w:tab w:val="left" w:pos="2220"/>
        </w:tabs>
        <w:ind w:left="2220" w:hanging="42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B5872E5"/>
    <w:multiLevelType w:val="multilevel"/>
    <w:tmpl w:val="0B5872E5"/>
    <w:lvl w:ilvl="0" w:tentative="0">
      <w:start w:val="1"/>
      <w:numFmt w:val="decimal"/>
      <w:pStyle w:val="85"/>
      <w:lvlText w:val="%1."/>
      <w:lvlJc w:val="left"/>
      <w:pPr>
        <w:tabs>
          <w:tab w:val="left" w:pos="1701"/>
        </w:tabs>
        <w:ind w:left="794" w:firstLine="3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8DC1803"/>
    <w:multiLevelType w:val="multilevel"/>
    <w:tmpl w:val="38DC1803"/>
    <w:lvl w:ilvl="0" w:tentative="0">
      <w:start w:val="1"/>
      <w:numFmt w:val="decimal"/>
      <w:lvlText w:val="%1）"/>
      <w:lvlJc w:val="left"/>
      <w:pPr>
        <w:ind w:left="1785" w:hanging="106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60683627"/>
    <w:multiLevelType w:val="multilevel"/>
    <w:tmpl w:val="60683627"/>
    <w:lvl w:ilvl="0" w:tentative="0">
      <w:start w:val="1"/>
      <w:numFmt w:val="bullet"/>
      <w:pStyle w:val="66"/>
      <w:lvlText w:val=""/>
      <w:lvlJc w:val="left"/>
      <w:pPr>
        <w:ind w:left="720" w:hanging="360"/>
      </w:pPr>
      <w:rPr>
        <w:rFonts w:hint="default" w:ascii="Symbol" w:hAnsi="Symbol"/>
      </w:rPr>
    </w:lvl>
    <w:lvl w:ilvl="1" w:tentative="0">
      <w:start w:val="1"/>
      <w:numFmt w:val="upperLetter"/>
      <w:pStyle w:val="67"/>
      <w:lvlText w:val="%2."/>
      <w:lvlJc w:val="left"/>
      <w:pPr>
        <w:tabs>
          <w:tab w:val="left" w:pos="-720"/>
        </w:tabs>
        <w:ind w:left="1440" w:hanging="360"/>
      </w:pPr>
      <w:rPr>
        <w:rFonts w:hint="default"/>
      </w:rPr>
    </w:lvl>
    <w:lvl w:ilvl="2" w:tentative="0">
      <w:start w:val="1"/>
      <w:numFmt w:val="bullet"/>
      <w:lvlText w:val=""/>
      <w:lvlJc w:val="left"/>
      <w:pPr>
        <w:tabs>
          <w:tab w:val="left" w:pos="2220"/>
        </w:tabs>
        <w:ind w:left="2220" w:hanging="42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ACA26AA"/>
    <w:multiLevelType w:val="multilevel"/>
    <w:tmpl w:val="6ACA26AA"/>
    <w:lvl w:ilvl="0" w:tentative="0">
      <w:start w:val="1"/>
      <w:numFmt w:val="bullet"/>
      <w:lvlText w:val=""/>
      <w:lvlJc w:val="left"/>
      <w:pPr>
        <w:tabs>
          <w:tab w:val="left" w:pos="1670"/>
        </w:tabs>
        <w:ind w:left="1670" w:hanging="420"/>
      </w:pPr>
      <w:rPr>
        <w:rFonts w:hint="default" w:ascii="Wingdings" w:hAnsi="Wingdings"/>
      </w:rPr>
    </w:lvl>
    <w:lvl w:ilvl="1" w:tentative="0">
      <w:start w:val="1"/>
      <w:numFmt w:val="bullet"/>
      <w:lvlText w:val=""/>
      <w:lvlJc w:val="left"/>
      <w:pPr>
        <w:tabs>
          <w:tab w:val="left" w:pos="1336"/>
        </w:tabs>
        <w:ind w:left="1336" w:hanging="420"/>
      </w:pPr>
      <w:rPr>
        <w:rFonts w:hint="default" w:ascii="Wingdings" w:hAnsi="Wingdings"/>
      </w:rPr>
    </w:lvl>
    <w:lvl w:ilvl="2" w:tentative="0">
      <w:start w:val="1"/>
      <w:numFmt w:val="bullet"/>
      <w:pStyle w:val="14"/>
      <w:lvlText w:val=""/>
      <w:lvlJc w:val="left"/>
      <w:pPr>
        <w:tabs>
          <w:tab w:val="left" w:pos="2510"/>
        </w:tabs>
        <w:ind w:left="2510" w:hanging="420"/>
      </w:pPr>
      <w:rPr>
        <w:rFonts w:hint="default" w:ascii="Wingdings" w:hAnsi="Wingdings"/>
      </w:rPr>
    </w:lvl>
    <w:lvl w:ilvl="3" w:tentative="0">
      <w:start w:val="1"/>
      <w:numFmt w:val="bullet"/>
      <w:lvlText w:val=""/>
      <w:lvlJc w:val="left"/>
      <w:pPr>
        <w:tabs>
          <w:tab w:val="left" w:pos="2930"/>
        </w:tabs>
        <w:ind w:left="2930" w:hanging="420"/>
      </w:pPr>
      <w:rPr>
        <w:rFonts w:hint="default" w:ascii="Wingdings" w:hAnsi="Wingdings"/>
      </w:rPr>
    </w:lvl>
    <w:lvl w:ilvl="4" w:tentative="0">
      <w:start w:val="1"/>
      <w:numFmt w:val="bullet"/>
      <w:lvlText w:val=""/>
      <w:lvlJc w:val="left"/>
      <w:pPr>
        <w:tabs>
          <w:tab w:val="left" w:pos="3350"/>
        </w:tabs>
        <w:ind w:left="3350" w:hanging="420"/>
      </w:pPr>
      <w:rPr>
        <w:rFonts w:hint="default" w:ascii="Wingdings" w:hAnsi="Wingdings"/>
      </w:rPr>
    </w:lvl>
    <w:lvl w:ilvl="5" w:tentative="0">
      <w:start w:val="1"/>
      <w:numFmt w:val="bullet"/>
      <w:lvlText w:val=""/>
      <w:lvlJc w:val="left"/>
      <w:pPr>
        <w:tabs>
          <w:tab w:val="left" w:pos="3770"/>
        </w:tabs>
        <w:ind w:left="3770" w:hanging="420"/>
      </w:pPr>
      <w:rPr>
        <w:rFonts w:hint="default" w:ascii="Wingdings" w:hAnsi="Wingdings"/>
      </w:rPr>
    </w:lvl>
    <w:lvl w:ilvl="6" w:tentative="0">
      <w:start w:val="1"/>
      <w:numFmt w:val="bullet"/>
      <w:lvlText w:val=""/>
      <w:lvlJc w:val="left"/>
      <w:pPr>
        <w:tabs>
          <w:tab w:val="left" w:pos="4190"/>
        </w:tabs>
        <w:ind w:left="4190" w:hanging="420"/>
      </w:pPr>
      <w:rPr>
        <w:rFonts w:hint="default" w:ascii="Wingdings" w:hAnsi="Wingdings"/>
      </w:rPr>
    </w:lvl>
    <w:lvl w:ilvl="7" w:tentative="0">
      <w:start w:val="1"/>
      <w:numFmt w:val="bullet"/>
      <w:lvlText w:val=""/>
      <w:lvlJc w:val="left"/>
      <w:pPr>
        <w:tabs>
          <w:tab w:val="left" w:pos="4610"/>
        </w:tabs>
        <w:ind w:left="4610" w:hanging="420"/>
      </w:pPr>
      <w:rPr>
        <w:rFonts w:hint="default" w:ascii="Wingdings" w:hAnsi="Wingdings"/>
      </w:rPr>
    </w:lvl>
    <w:lvl w:ilvl="8" w:tentative="0">
      <w:start w:val="1"/>
      <w:numFmt w:val="bullet"/>
      <w:lvlText w:val=""/>
      <w:lvlJc w:val="left"/>
      <w:pPr>
        <w:tabs>
          <w:tab w:val="left" w:pos="5030"/>
        </w:tabs>
        <w:ind w:left="5030" w:hanging="420"/>
      </w:pPr>
      <w:rPr>
        <w:rFonts w:hint="default" w:ascii="Wingdings" w:hAnsi="Wingdings"/>
      </w:rPr>
    </w:lvl>
  </w:abstractNum>
  <w:abstractNum w:abstractNumId="7">
    <w:nsid w:val="6E07623C"/>
    <w:multiLevelType w:val="multilevel"/>
    <w:tmpl w:val="6E07623C"/>
    <w:lvl w:ilvl="0" w:tentative="0">
      <w:start w:val="1"/>
      <w:numFmt w:val="japaneseCounting"/>
      <w:lvlText w:val="%1、"/>
      <w:lvlJc w:val="left"/>
      <w:pPr>
        <w:tabs>
          <w:tab w:val="left" w:pos="1140"/>
        </w:tabs>
        <w:ind w:left="1140" w:hanging="720"/>
      </w:pPr>
      <w:rPr>
        <w:rFonts w:hint="eastAsia" w:cs="Times New Roman"/>
      </w:rPr>
    </w:lvl>
    <w:lvl w:ilvl="1" w:tentative="0">
      <w:start w:val="1"/>
      <w:numFmt w:val="decimal"/>
      <w:lvlText w:val="%2."/>
      <w:lvlJc w:val="left"/>
      <w:pPr>
        <w:tabs>
          <w:tab w:val="left" w:pos="1605"/>
        </w:tabs>
        <w:ind w:left="1605" w:hanging="765"/>
      </w:pPr>
      <w:rPr>
        <w:rFonts w:hint="eastAsia" w:cs="Times New Roman"/>
      </w:rPr>
    </w:lvl>
    <w:lvl w:ilvl="2" w:tentative="0">
      <w:start w:val="1"/>
      <w:numFmt w:val="decimal"/>
      <w:lvlText w:val="%3．"/>
      <w:lvlJc w:val="left"/>
      <w:pPr>
        <w:tabs>
          <w:tab w:val="left" w:pos="1980"/>
        </w:tabs>
        <w:ind w:left="1980" w:hanging="720"/>
      </w:pPr>
      <w:rPr>
        <w:rFonts w:hint="eastAsia" w:cs="Times New Roman"/>
      </w:rPr>
    </w:lvl>
    <w:lvl w:ilvl="3" w:tentative="0">
      <w:start w:val="1"/>
      <w:numFmt w:val="upperLetter"/>
      <w:pStyle w:val="2"/>
      <w:lvlText w:val="%4、"/>
      <w:lvlJc w:val="left"/>
      <w:pPr>
        <w:tabs>
          <w:tab w:val="left" w:pos="2400"/>
        </w:tabs>
        <w:ind w:left="2400" w:hanging="720"/>
      </w:pPr>
      <w:rPr>
        <w:rFonts w:hint="eastAsia"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6"/>
  </w:num>
  <w:num w:numId="3">
    <w:abstractNumId w:val="2"/>
  </w:num>
  <w:num w:numId="4">
    <w:abstractNumId w:val="1"/>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lMTFhNDE1MGJhZTRlZmUxNjIxM2IwZWI4ZmExMTkifQ=="/>
  </w:docVars>
  <w:rsids>
    <w:rsidRoot w:val="00F96732"/>
    <w:rsid w:val="0000073E"/>
    <w:rsid w:val="00001A80"/>
    <w:rsid w:val="000032BF"/>
    <w:rsid w:val="00003B45"/>
    <w:rsid w:val="00012D55"/>
    <w:rsid w:val="00012DD6"/>
    <w:rsid w:val="0002497D"/>
    <w:rsid w:val="00030C0F"/>
    <w:rsid w:val="0003679B"/>
    <w:rsid w:val="0004197C"/>
    <w:rsid w:val="000422CC"/>
    <w:rsid w:val="0004665B"/>
    <w:rsid w:val="00047E59"/>
    <w:rsid w:val="00050521"/>
    <w:rsid w:val="00050F29"/>
    <w:rsid w:val="000534D8"/>
    <w:rsid w:val="00056CE9"/>
    <w:rsid w:val="00057A0D"/>
    <w:rsid w:val="000633CB"/>
    <w:rsid w:val="00067FAC"/>
    <w:rsid w:val="00072109"/>
    <w:rsid w:val="00072361"/>
    <w:rsid w:val="0007797F"/>
    <w:rsid w:val="0008272C"/>
    <w:rsid w:val="000841DD"/>
    <w:rsid w:val="0008648A"/>
    <w:rsid w:val="00091BA4"/>
    <w:rsid w:val="00093CD3"/>
    <w:rsid w:val="000A2B36"/>
    <w:rsid w:val="000A33D3"/>
    <w:rsid w:val="000A33E1"/>
    <w:rsid w:val="000A439C"/>
    <w:rsid w:val="000B170D"/>
    <w:rsid w:val="000B561A"/>
    <w:rsid w:val="000B577C"/>
    <w:rsid w:val="000C035E"/>
    <w:rsid w:val="000C555F"/>
    <w:rsid w:val="000C7C86"/>
    <w:rsid w:val="000D0B86"/>
    <w:rsid w:val="000D20DB"/>
    <w:rsid w:val="000D4816"/>
    <w:rsid w:val="000E0BB7"/>
    <w:rsid w:val="000E3BB8"/>
    <w:rsid w:val="000E429C"/>
    <w:rsid w:val="000E4BC4"/>
    <w:rsid w:val="000E63FD"/>
    <w:rsid w:val="000E7DEE"/>
    <w:rsid w:val="000F099C"/>
    <w:rsid w:val="000F1AD4"/>
    <w:rsid w:val="000F3AB8"/>
    <w:rsid w:val="000F3B8A"/>
    <w:rsid w:val="000F515C"/>
    <w:rsid w:val="000F7250"/>
    <w:rsid w:val="000F72FE"/>
    <w:rsid w:val="00100302"/>
    <w:rsid w:val="0010035A"/>
    <w:rsid w:val="00100A52"/>
    <w:rsid w:val="001034D9"/>
    <w:rsid w:val="001043D4"/>
    <w:rsid w:val="00104D83"/>
    <w:rsid w:val="00106768"/>
    <w:rsid w:val="00106A65"/>
    <w:rsid w:val="0011341B"/>
    <w:rsid w:val="00114B61"/>
    <w:rsid w:val="00116616"/>
    <w:rsid w:val="00121D75"/>
    <w:rsid w:val="00123424"/>
    <w:rsid w:val="00125327"/>
    <w:rsid w:val="00126237"/>
    <w:rsid w:val="0012725C"/>
    <w:rsid w:val="00130036"/>
    <w:rsid w:val="001304DB"/>
    <w:rsid w:val="00135636"/>
    <w:rsid w:val="00135926"/>
    <w:rsid w:val="001370D2"/>
    <w:rsid w:val="00140315"/>
    <w:rsid w:val="0014058F"/>
    <w:rsid w:val="00147603"/>
    <w:rsid w:val="00155D9A"/>
    <w:rsid w:val="001578AE"/>
    <w:rsid w:val="00163C76"/>
    <w:rsid w:val="00166CCA"/>
    <w:rsid w:val="00171EA7"/>
    <w:rsid w:val="00177134"/>
    <w:rsid w:val="0017761B"/>
    <w:rsid w:val="0018206D"/>
    <w:rsid w:val="00182822"/>
    <w:rsid w:val="00183246"/>
    <w:rsid w:val="00183751"/>
    <w:rsid w:val="00184C0F"/>
    <w:rsid w:val="00190435"/>
    <w:rsid w:val="001A3B85"/>
    <w:rsid w:val="001A3EF5"/>
    <w:rsid w:val="001A550A"/>
    <w:rsid w:val="001A6710"/>
    <w:rsid w:val="001B4B0E"/>
    <w:rsid w:val="001C18AA"/>
    <w:rsid w:val="001C47CF"/>
    <w:rsid w:val="001C4BAF"/>
    <w:rsid w:val="001D3C08"/>
    <w:rsid w:val="001D3DF8"/>
    <w:rsid w:val="001D6CB8"/>
    <w:rsid w:val="001D6EF4"/>
    <w:rsid w:val="001E55BE"/>
    <w:rsid w:val="001E62AE"/>
    <w:rsid w:val="001E75FF"/>
    <w:rsid w:val="001F49FB"/>
    <w:rsid w:val="001F5C6B"/>
    <w:rsid w:val="00202A71"/>
    <w:rsid w:val="0020376D"/>
    <w:rsid w:val="00203D2F"/>
    <w:rsid w:val="00204245"/>
    <w:rsid w:val="0020760B"/>
    <w:rsid w:val="00214514"/>
    <w:rsid w:val="00215DE2"/>
    <w:rsid w:val="00223CA8"/>
    <w:rsid w:val="0022707B"/>
    <w:rsid w:val="002470F5"/>
    <w:rsid w:val="00247A54"/>
    <w:rsid w:val="002515C4"/>
    <w:rsid w:val="002575DC"/>
    <w:rsid w:val="00261402"/>
    <w:rsid w:val="00262C5B"/>
    <w:rsid w:val="00263ABF"/>
    <w:rsid w:val="00276C23"/>
    <w:rsid w:val="00281B0A"/>
    <w:rsid w:val="00283E03"/>
    <w:rsid w:val="00283EA4"/>
    <w:rsid w:val="00286869"/>
    <w:rsid w:val="00286A5E"/>
    <w:rsid w:val="002949BB"/>
    <w:rsid w:val="00295458"/>
    <w:rsid w:val="002A02B4"/>
    <w:rsid w:val="002A09D7"/>
    <w:rsid w:val="002A4F31"/>
    <w:rsid w:val="002A53CA"/>
    <w:rsid w:val="002A5C39"/>
    <w:rsid w:val="002B2404"/>
    <w:rsid w:val="002B399B"/>
    <w:rsid w:val="002B3C96"/>
    <w:rsid w:val="002B4741"/>
    <w:rsid w:val="002B4D82"/>
    <w:rsid w:val="002B5AF2"/>
    <w:rsid w:val="002B6D78"/>
    <w:rsid w:val="002C0974"/>
    <w:rsid w:val="002C4BAA"/>
    <w:rsid w:val="002D0527"/>
    <w:rsid w:val="002D0565"/>
    <w:rsid w:val="002D2650"/>
    <w:rsid w:val="002D7FAE"/>
    <w:rsid w:val="002E192F"/>
    <w:rsid w:val="002E2FCD"/>
    <w:rsid w:val="002E5B95"/>
    <w:rsid w:val="002E69CA"/>
    <w:rsid w:val="002E7DBA"/>
    <w:rsid w:val="002F502F"/>
    <w:rsid w:val="002F6B0D"/>
    <w:rsid w:val="002F6F8B"/>
    <w:rsid w:val="002F7CCA"/>
    <w:rsid w:val="003012B2"/>
    <w:rsid w:val="00301D9E"/>
    <w:rsid w:val="003020F3"/>
    <w:rsid w:val="00303C52"/>
    <w:rsid w:val="00312788"/>
    <w:rsid w:val="003142CB"/>
    <w:rsid w:val="00314F2C"/>
    <w:rsid w:val="00316019"/>
    <w:rsid w:val="00320A3B"/>
    <w:rsid w:val="00321BCD"/>
    <w:rsid w:val="00321D53"/>
    <w:rsid w:val="0032310A"/>
    <w:rsid w:val="00325216"/>
    <w:rsid w:val="003252D7"/>
    <w:rsid w:val="00332189"/>
    <w:rsid w:val="003327A9"/>
    <w:rsid w:val="00333CF6"/>
    <w:rsid w:val="00340E54"/>
    <w:rsid w:val="0034341E"/>
    <w:rsid w:val="00346073"/>
    <w:rsid w:val="0034704F"/>
    <w:rsid w:val="00350A3C"/>
    <w:rsid w:val="00350CEB"/>
    <w:rsid w:val="0035455B"/>
    <w:rsid w:val="00362818"/>
    <w:rsid w:val="00366E71"/>
    <w:rsid w:val="00373DFD"/>
    <w:rsid w:val="00381D5E"/>
    <w:rsid w:val="00386020"/>
    <w:rsid w:val="00387764"/>
    <w:rsid w:val="003970DD"/>
    <w:rsid w:val="003A05BC"/>
    <w:rsid w:val="003A5484"/>
    <w:rsid w:val="003B71EC"/>
    <w:rsid w:val="003C0572"/>
    <w:rsid w:val="003C2802"/>
    <w:rsid w:val="003C37E4"/>
    <w:rsid w:val="003D080F"/>
    <w:rsid w:val="003E69A4"/>
    <w:rsid w:val="003F0CD0"/>
    <w:rsid w:val="003F20C4"/>
    <w:rsid w:val="003F4D9D"/>
    <w:rsid w:val="003F66ED"/>
    <w:rsid w:val="00402072"/>
    <w:rsid w:val="00404C2C"/>
    <w:rsid w:val="00412D4A"/>
    <w:rsid w:val="00413D29"/>
    <w:rsid w:val="004147E5"/>
    <w:rsid w:val="0042106C"/>
    <w:rsid w:val="00424414"/>
    <w:rsid w:val="00425B81"/>
    <w:rsid w:val="00427A12"/>
    <w:rsid w:val="0043748D"/>
    <w:rsid w:val="004374BA"/>
    <w:rsid w:val="004415FE"/>
    <w:rsid w:val="00447D35"/>
    <w:rsid w:val="00453D38"/>
    <w:rsid w:val="004656FA"/>
    <w:rsid w:val="0046705E"/>
    <w:rsid w:val="00467DCD"/>
    <w:rsid w:val="00470C1C"/>
    <w:rsid w:val="00477D7C"/>
    <w:rsid w:val="00477EE3"/>
    <w:rsid w:val="00480898"/>
    <w:rsid w:val="00481A43"/>
    <w:rsid w:val="00482246"/>
    <w:rsid w:val="00483D69"/>
    <w:rsid w:val="00484414"/>
    <w:rsid w:val="0048650D"/>
    <w:rsid w:val="00487F1C"/>
    <w:rsid w:val="00492DF3"/>
    <w:rsid w:val="004959A8"/>
    <w:rsid w:val="004A052D"/>
    <w:rsid w:val="004A472F"/>
    <w:rsid w:val="004B3D0B"/>
    <w:rsid w:val="004B61F3"/>
    <w:rsid w:val="004B6EB4"/>
    <w:rsid w:val="004C0630"/>
    <w:rsid w:val="004C39E2"/>
    <w:rsid w:val="004C5645"/>
    <w:rsid w:val="004C78FB"/>
    <w:rsid w:val="004D464E"/>
    <w:rsid w:val="004D4975"/>
    <w:rsid w:val="004D5F25"/>
    <w:rsid w:val="004E11EC"/>
    <w:rsid w:val="004E3E88"/>
    <w:rsid w:val="004E4D05"/>
    <w:rsid w:val="004E6E24"/>
    <w:rsid w:val="004F22E2"/>
    <w:rsid w:val="004F26C4"/>
    <w:rsid w:val="004F4EE1"/>
    <w:rsid w:val="004F56F7"/>
    <w:rsid w:val="004F630F"/>
    <w:rsid w:val="00502ECB"/>
    <w:rsid w:val="0050678B"/>
    <w:rsid w:val="00510DA7"/>
    <w:rsid w:val="00510E8D"/>
    <w:rsid w:val="005123BC"/>
    <w:rsid w:val="00522DF6"/>
    <w:rsid w:val="005258F4"/>
    <w:rsid w:val="00530E20"/>
    <w:rsid w:val="00532502"/>
    <w:rsid w:val="0053295B"/>
    <w:rsid w:val="0054763C"/>
    <w:rsid w:val="00553D2F"/>
    <w:rsid w:val="00554D19"/>
    <w:rsid w:val="005562D1"/>
    <w:rsid w:val="00562952"/>
    <w:rsid w:val="005756AE"/>
    <w:rsid w:val="0057672F"/>
    <w:rsid w:val="00593287"/>
    <w:rsid w:val="00595731"/>
    <w:rsid w:val="005A14F5"/>
    <w:rsid w:val="005A242F"/>
    <w:rsid w:val="005A6F06"/>
    <w:rsid w:val="005B2985"/>
    <w:rsid w:val="005B38A5"/>
    <w:rsid w:val="005B4313"/>
    <w:rsid w:val="005B51E1"/>
    <w:rsid w:val="005B586A"/>
    <w:rsid w:val="005C2C6D"/>
    <w:rsid w:val="005C2CEA"/>
    <w:rsid w:val="005C3546"/>
    <w:rsid w:val="005C4C96"/>
    <w:rsid w:val="005C500D"/>
    <w:rsid w:val="005C7ED5"/>
    <w:rsid w:val="005D1283"/>
    <w:rsid w:val="005D2015"/>
    <w:rsid w:val="005D2791"/>
    <w:rsid w:val="005D2F79"/>
    <w:rsid w:val="005D3E76"/>
    <w:rsid w:val="005D3F44"/>
    <w:rsid w:val="005D4F06"/>
    <w:rsid w:val="005E0CBE"/>
    <w:rsid w:val="005E20B8"/>
    <w:rsid w:val="005E394E"/>
    <w:rsid w:val="005E3DE9"/>
    <w:rsid w:val="005E562E"/>
    <w:rsid w:val="005E634C"/>
    <w:rsid w:val="005F4D75"/>
    <w:rsid w:val="005F50BA"/>
    <w:rsid w:val="0060051C"/>
    <w:rsid w:val="006016ED"/>
    <w:rsid w:val="00607281"/>
    <w:rsid w:val="00611113"/>
    <w:rsid w:val="00611B23"/>
    <w:rsid w:val="00614A99"/>
    <w:rsid w:val="00623F56"/>
    <w:rsid w:val="00624478"/>
    <w:rsid w:val="00624DC3"/>
    <w:rsid w:val="00625731"/>
    <w:rsid w:val="00627A12"/>
    <w:rsid w:val="00635CE1"/>
    <w:rsid w:val="0064373A"/>
    <w:rsid w:val="0064512B"/>
    <w:rsid w:val="0066110B"/>
    <w:rsid w:val="00662C31"/>
    <w:rsid w:val="00664E8B"/>
    <w:rsid w:val="006707EA"/>
    <w:rsid w:val="00671E5F"/>
    <w:rsid w:val="00672423"/>
    <w:rsid w:val="0067580A"/>
    <w:rsid w:val="00676579"/>
    <w:rsid w:val="00687213"/>
    <w:rsid w:val="006913AA"/>
    <w:rsid w:val="006914CD"/>
    <w:rsid w:val="006A0E35"/>
    <w:rsid w:val="006A12E5"/>
    <w:rsid w:val="006A5AB3"/>
    <w:rsid w:val="006B0BBC"/>
    <w:rsid w:val="006B1C1D"/>
    <w:rsid w:val="006B2E42"/>
    <w:rsid w:val="006C1FA5"/>
    <w:rsid w:val="006C7031"/>
    <w:rsid w:val="006D0B12"/>
    <w:rsid w:val="006D0D4D"/>
    <w:rsid w:val="006D4056"/>
    <w:rsid w:val="006D5C14"/>
    <w:rsid w:val="006D6938"/>
    <w:rsid w:val="006D7513"/>
    <w:rsid w:val="006E32A3"/>
    <w:rsid w:val="006E676A"/>
    <w:rsid w:val="006E7A3E"/>
    <w:rsid w:val="006F1AB5"/>
    <w:rsid w:val="006F362D"/>
    <w:rsid w:val="006F4EF1"/>
    <w:rsid w:val="006F5170"/>
    <w:rsid w:val="006F5E40"/>
    <w:rsid w:val="00703EBB"/>
    <w:rsid w:val="0070522C"/>
    <w:rsid w:val="00705CC1"/>
    <w:rsid w:val="0070733B"/>
    <w:rsid w:val="007107F0"/>
    <w:rsid w:val="00712828"/>
    <w:rsid w:val="00712874"/>
    <w:rsid w:val="0071377A"/>
    <w:rsid w:val="00716365"/>
    <w:rsid w:val="00717D22"/>
    <w:rsid w:val="007226FF"/>
    <w:rsid w:val="00723676"/>
    <w:rsid w:val="00723F62"/>
    <w:rsid w:val="00724879"/>
    <w:rsid w:val="00724D39"/>
    <w:rsid w:val="0072719E"/>
    <w:rsid w:val="007320A0"/>
    <w:rsid w:val="00732BD4"/>
    <w:rsid w:val="007349A6"/>
    <w:rsid w:val="007415AC"/>
    <w:rsid w:val="00741F1D"/>
    <w:rsid w:val="00741F86"/>
    <w:rsid w:val="007422DC"/>
    <w:rsid w:val="007448B7"/>
    <w:rsid w:val="00744EFF"/>
    <w:rsid w:val="00745BA6"/>
    <w:rsid w:val="00746459"/>
    <w:rsid w:val="0074770E"/>
    <w:rsid w:val="00747BB6"/>
    <w:rsid w:val="00750433"/>
    <w:rsid w:val="007506E8"/>
    <w:rsid w:val="00753E26"/>
    <w:rsid w:val="00754754"/>
    <w:rsid w:val="007563F2"/>
    <w:rsid w:val="00772A6F"/>
    <w:rsid w:val="00773C90"/>
    <w:rsid w:val="007808FC"/>
    <w:rsid w:val="00781BD6"/>
    <w:rsid w:val="007849FC"/>
    <w:rsid w:val="00785FAD"/>
    <w:rsid w:val="007915D7"/>
    <w:rsid w:val="00794EA9"/>
    <w:rsid w:val="007953BE"/>
    <w:rsid w:val="007953C0"/>
    <w:rsid w:val="00795EA1"/>
    <w:rsid w:val="007A0358"/>
    <w:rsid w:val="007A2CB0"/>
    <w:rsid w:val="007A638A"/>
    <w:rsid w:val="007B15C7"/>
    <w:rsid w:val="007B2BC1"/>
    <w:rsid w:val="007C2CD5"/>
    <w:rsid w:val="007D266D"/>
    <w:rsid w:val="007D29A3"/>
    <w:rsid w:val="007D4581"/>
    <w:rsid w:val="007E12FE"/>
    <w:rsid w:val="007E5734"/>
    <w:rsid w:val="007E7113"/>
    <w:rsid w:val="007F203F"/>
    <w:rsid w:val="007F223A"/>
    <w:rsid w:val="007F26A8"/>
    <w:rsid w:val="007F7557"/>
    <w:rsid w:val="007F75AE"/>
    <w:rsid w:val="00800886"/>
    <w:rsid w:val="00812DB3"/>
    <w:rsid w:val="00815271"/>
    <w:rsid w:val="00815BAF"/>
    <w:rsid w:val="008162D9"/>
    <w:rsid w:val="0082075D"/>
    <w:rsid w:val="0082217F"/>
    <w:rsid w:val="00822A15"/>
    <w:rsid w:val="00827898"/>
    <w:rsid w:val="00834E39"/>
    <w:rsid w:val="008352BB"/>
    <w:rsid w:val="008363C5"/>
    <w:rsid w:val="00837B00"/>
    <w:rsid w:val="00842107"/>
    <w:rsid w:val="00847FD0"/>
    <w:rsid w:val="008507D8"/>
    <w:rsid w:val="0085157B"/>
    <w:rsid w:val="00857845"/>
    <w:rsid w:val="00857CDF"/>
    <w:rsid w:val="008718C0"/>
    <w:rsid w:val="00874F72"/>
    <w:rsid w:val="00875CDB"/>
    <w:rsid w:val="00884470"/>
    <w:rsid w:val="00893756"/>
    <w:rsid w:val="008969DE"/>
    <w:rsid w:val="008A154C"/>
    <w:rsid w:val="008A2096"/>
    <w:rsid w:val="008B2FC5"/>
    <w:rsid w:val="008B4FC4"/>
    <w:rsid w:val="008C4A83"/>
    <w:rsid w:val="008C77D7"/>
    <w:rsid w:val="008D2E47"/>
    <w:rsid w:val="008D4FE7"/>
    <w:rsid w:val="008E0741"/>
    <w:rsid w:val="008E1D9E"/>
    <w:rsid w:val="008E4BD6"/>
    <w:rsid w:val="008E6598"/>
    <w:rsid w:val="008F0FEF"/>
    <w:rsid w:val="008F312F"/>
    <w:rsid w:val="008F4D70"/>
    <w:rsid w:val="008F6CAC"/>
    <w:rsid w:val="008F764E"/>
    <w:rsid w:val="00901A4D"/>
    <w:rsid w:val="009038DD"/>
    <w:rsid w:val="009049EF"/>
    <w:rsid w:val="00906207"/>
    <w:rsid w:val="009076BA"/>
    <w:rsid w:val="00911217"/>
    <w:rsid w:val="00911EAA"/>
    <w:rsid w:val="009218DB"/>
    <w:rsid w:val="00922638"/>
    <w:rsid w:val="009226BE"/>
    <w:rsid w:val="0092686F"/>
    <w:rsid w:val="009315FB"/>
    <w:rsid w:val="009323B6"/>
    <w:rsid w:val="00935CFB"/>
    <w:rsid w:val="00944814"/>
    <w:rsid w:val="009532D8"/>
    <w:rsid w:val="00964D6F"/>
    <w:rsid w:val="009653CD"/>
    <w:rsid w:val="00965A41"/>
    <w:rsid w:val="009678B9"/>
    <w:rsid w:val="0097539F"/>
    <w:rsid w:val="0097717E"/>
    <w:rsid w:val="00977230"/>
    <w:rsid w:val="009800AB"/>
    <w:rsid w:val="00981A7A"/>
    <w:rsid w:val="00986B9A"/>
    <w:rsid w:val="0099135D"/>
    <w:rsid w:val="00991398"/>
    <w:rsid w:val="00995F35"/>
    <w:rsid w:val="0099602D"/>
    <w:rsid w:val="00996126"/>
    <w:rsid w:val="00996F3F"/>
    <w:rsid w:val="009A3008"/>
    <w:rsid w:val="009A4D3B"/>
    <w:rsid w:val="009B11E2"/>
    <w:rsid w:val="009C2D42"/>
    <w:rsid w:val="009C46D7"/>
    <w:rsid w:val="009C766C"/>
    <w:rsid w:val="009C769A"/>
    <w:rsid w:val="009D24BC"/>
    <w:rsid w:val="009E2CBC"/>
    <w:rsid w:val="009E2FF0"/>
    <w:rsid w:val="009E490D"/>
    <w:rsid w:val="009F18DE"/>
    <w:rsid w:val="009F1E97"/>
    <w:rsid w:val="00A05E06"/>
    <w:rsid w:val="00A06B92"/>
    <w:rsid w:val="00A07D12"/>
    <w:rsid w:val="00A10B42"/>
    <w:rsid w:val="00A12115"/>
    <w:rsid w:val="00A22A36"/>
    <w:rsid w:val="00A25C47"/>
    <w:rsid w:val="00A25CEF"/>
    <w:rsid w:val="00A27CF1"/>
    <w:rsid w:val="00A332D8"/>
    <w:rsid w:val="00A36CE6"/>
    <w:rsid w:val="00A43156"/>
    <w:rsid w:val="00A45766"/>
    <w:rsid w:val="00A5040E"/>
    <w:rsid w:val="00A52D50"/>
    <w:rsid w:val="00A5571D"/>
    <w:rsid w:val="00A6422F"/>
    <w:rsid w:val="00A65859"/>
    <w:rsid w:val="00A71895"/>
    <w:rsid w:val="00A750D2"/>
    <w:rsid w:val="00A76698"/>
    <w:rsid w:val="00A76956"/>
    <w:rsid w:val="00A80C0F"/>
    <w:rsid w:val="00A85B9A"/>
    <w:rsid w:val="00A92CEE"/>
    <w:rsid w:val="00A93F15"/>
    <w:rsid w:val="00A950B1"/>
    <w:rsid w:val="00A9586A"/>
    <w:rsid w:val="00AA3E1A"/>
    <w:rsid w:val="00AA6241"/>
    <w:rsid w:val="00AA7A1D"/>
    <w:rsid w:val="00AB0F27"/>
    <w:rsid w:val="00AB29D0"/>
    <w:rsid w:val="00AB30F5"/>
    <w:rsid w:val="00AB3102"/>
    <w:rsid w:val="00AB3A89"/>
    <w:rsid w:val="00AB4DE0"/>
    <w:rsid w:val="00AB565E"/>
    <w:rsid w:val="00AC1899"/>
    <w:rsid w:val="00AC757D"/>
    <w:rsid w:val="00AD0FD7"/>
    <w:rsid w:val="00AD64F5"/>
    <w:rsid w:val="00AD6E6E"/>
    <w:rsid w:val="00AD734E"/>
    <w:rsid w:val="00AE02F5"/>
    <w:rsid w:val="00AE6AA9"/>
    <w:rsid w:val="00AF4C8B"/>
    <w:rsid w:val="00AF50C3"/>
    <w:rsid w:val="00AF5A95"/>
    <w:rsid w:val="00AF7BD9"/>
    <w:rsid w:val="00B063DB"/>
    <w:rsid w:val="00B07C58"/>
    <w:rsid w:val="00B14705"/>
    <w:rsid w:val="00B20A43"/>
    <w:rsid w:val="00B23063"/>
    <w:rsid w:val="00B26EB8"/>
    <w:rsid w:val="00B3134D"/>
    <w:rsid w:val="00B3192A"/>
    <w:rsid w:val="00B32461"/>
    <w:rsid w:val="00B32D9C"/>
    <w:rsid w:val="00B32E08"/>
    <w:rsid w:val="00B343BA"/>
    <w:rsid w:val="00B34AD0"/>
    <w:rsid w:val="00B40C45"/>
    <w:rsid w:val="00B42F70"/>
    <w:rsid w:val="00B47E43"/>
    <w:rsid w:val="00B567D4"/>
    <w:rsid w:val="00B577AD"/>
    <w:rsid w:val="00B6677A"/>
    <w:rsid w:val="00B66F7C"/>
    <w:rsid w:val="00B67999"/>
    <w:rsid w:val="00B725D9"/>
    <w:rsid w:val="00B77113"/>
    <w:rsid w:val="00B77B4A"/>
    <w:rsid w:val="00B81604"/>
    <w:rsid w:val="00B8614B"/>
    <w:rsid w:val="00B91918"/>
    <w:rsid w:val="00B941A8"/>
    <w:rsid w:val="00B946D1"/>
    <w:rsid w:val="00BA1527"/>
    <w:rsid w:val="00BA21F6"/>
    <w:rsid w:val="00BA3552"/>
    <w:rsid w:val="00BA692C"/>
    <w:rsid w:val="00BB3061"/>
    <w:rsid w:val="00BB5671"/>
    <w:rsid w:val="00BB681E"/>
    <w:rsid w:val="00BB7119"/>
    <w:rsid w:val="00BC344B"/>
    <w:rsid w:val="00BC43C4"/>
    <w:rsid w:val="00BC4A3E"/>
    <w:rsid w:val="00BC7BD2"/>
    <w:rsid w:val="00BD1CE2"/>
    <w:rsid w:val="00BD3DB6"/>
    <w:rsid w:val="00BD3DC8"/>
    <w:rsid w:val="00BE0D92"/>
    <w:rsid w:val="00BE1F99"/>
    <w:rsid w:val="00BE6389"/>
    <w:rsid w:val="00BE7760"/>
    <w:rsid w:val="00BE7D8B"/>
    <w:rsid w:val="00BF78AB"/>
    <w:rsid w:val="00C0153F"/>
    <w:rsid w:val="00C02B66"/>
    <w:rsid w:val="00C06C4F"/>
    <w:rsid w:val="00C13930"/>
    <w:rsid w:val="00C14263"/>
    <w:rsid w:val="00C146A8"/>
    <w:rsid w:val="00C22620"/>
    <w:rsid w:val="00C248C4"/>
    <w:rsid w:val="00C2555D"/>
    <w:rsid w:val="00C26743"/>
    <w:rsid w:val="00C33E9C"/>
    <w:rsid w:val="00C4182E"/>
    <w:rsid w:val="00C436F7"/>
    <w:rsid w:val="00C4421C"/>
    <w:rsid w:val="00C467E8"/>
    <w:rsid w:val="00C52C3D"/>
    <w:rsid w:val="00C52F88"/>
    <w:rsid w:val="00C55089"/>
    <w:rsid w:val="00C55D25"/>
    <w:rsid w:val="00C57EC8"/>
    <w:rsid w:val="00C6164F"/>
    <w:rsid w:val="00C63AE1"/>
    <w:rsid w:val="00C67B4E"/>
    <w:rsid w:val="00C70A02"/>
    <w:rsid w:val="00C711CB"/>
    <w:rsid w:val="00C713F4"/>
    <w:rsid w:val="00C77010"/>
    <w:rsid w:val="00C804CD"/>
    <w:rsid w:val="00C83877"/>
    <w:rsid w:val="00C839AE"/>
    <w:rsid w:val="00C83D4E"/>
    <w:rsid w:val="00C83FDE"/>
    <w:rsid w:val="00C8579A"/>
    <w:rsid w:val="00C93018"/>
    <w:rsid w:val="00C960D9"/>
    <w:rsid w:val="00CA7270"/>
    <w:rsid w:val="00CB1F34"/>
    <w:rsid w:val="00CB2711"/>
    <w:rsid w:val="00CB3DAC"/>
    <w:rsid w:val="00CB474E"/>
    <w:rsid w:val="00CB6593"/>
    <w:rsid w:val="00CB6E5D"/>
    <w:rsid w:val="00CB788F"/>
    <w:rsid w:val="00CC0F03"/>
    <w:rsid w:val="00CC3A83"/>
    <w:rsid w:val="00CC43BD"/>
    <w:rsid w:val="00CC5B36"/>
    <w:rsid w:val="00CC5BBE"/>
    <w:rsid w:val="00CC66EB"/>
    <w:rsid w:val="00CD1A19"/>
    <w:rsid w:val="00CD47B1"/>
    <w:rsid w:val="00CE4239"/>
    <w:rsid w:val="00CF231D"/>
    <w:rsid w:val="00CF25DF"/>
    <w:rsid w:val="00CF2A6D"/>
    <w:rsid w:val="00CF4521"/>
    <w:rsid w:val="00D02376"/>
    <w:rsid w:val="00D102A8"/>
    <w:rsid w:val="00D1267B"/>
    <w:rsid w:val="00D139B0"/>
    <w:rsid w:val="00D13B8F"/>
    <w:rsid w:val="00D15C1C"/>
    <w:rsid w:val="00D167AB"/>
    <w:rsid w:val="00D16F54"/>
    <w:rsid w:val="00D21049"/>
    <w:rsid w:val="00D367B7"/>
    <w:rsid w:val="00D4258E"/>
    <w:rsid w:val="00D431FF"/>
    <w:rsid w:val="00D44416"/>
    <w:rsid w:val="00D44A07"/>
    <w:rsid w:val="00D5045F"/>
    <w:rsid w:val="00D60B22"/>
    <w:rsid w:val="00D62896"/>
    <w:rsid w:val="00D65079"/>
    <w:rsid w:val="00D733E9"/>
    <w:rsid w:val="00D747C7"/>
    <w:rsid w:val="00D75B45"/>
    <w:rsid w:val="00D815D6"/>
    <w:rsid w:val="00D82436"/>
    <w:rsid w:val="00D82B0E"/>
    <w:rsid w:val="00D84030"/>
    <w:rsid w:val="00D850E1"/>
    <w:rsid w:val="00D87D09"/>
    <w:rsid w:val="00D9650D"/>
    <w:rsid w:val="00D9757C"/>
    <w:rsid w:val="00DA0748"/>
    <w:rsid w:val="00DA08AC"/>
    <w:rsid w:val="00DA6F58"/>
    <w:rsid w:val="00DB0442"/>
    <w:rsid w:val="00DB5C23"/>
    <w:rsid w:val="00DB7E38"/>
    <w:rsid w:val="00DC039F"/>
    <w:rsid w:val="00DC3902"/>
    <w:rsid w:val="00DC4F0E"/>
    <w:rsid w:val="00DC6751"/>
    <w:rsid w:val="00DC6ED7"/>
    <w:rsid w:val="00DC6F28"/>
    <w:rsid w:val="00DC7341"/>
    <w:rsid w:val="00DD03EB"/>
    <w:rsid w:val="00DD4FB7"/>
    <w:rsid w:val="00DD66AC"/>
    <w:rsid w:val="00DD6981"/>
    <w:rsid w:val="00DE09FB"/>
    <w:rsid w:val="00DE17AE"/>
    <w:rsid w:val="00DE1A47"/>
    <w:rsid w:val="00DE3AD2"/>
    <w:rsid w:val="00DE5ABF"/>
    <w:rsid w:val="00DE6940"/>
    <w:rsid w:val="00DF3D26"/>
    <w:rsid w:val="00E00498"/>
    <w:rsid w:val="00E0264E"/>
    <w:rsid w:val="00E04C22"/>
    <w:rsid w:val="00E168D7"/>
    <w:rsid w:val="00E16D80"/>
    <w:rsid w:val="00E20F2B"/>
    <w:rsid w:val="00E217FD"/>
    <w:rsid w:val="00E24AD8"/>
    <w:rsid w:val="00E25455"/>
    <w:rsid w:val="00E263FD"/>
    <w:rsid w:val="00E2646F"/>
    <w:rsid w:val="00E268AE"/>
    <w:rsid w:val="00E26DE5"/>
    <w:rsid w:val="00E27C9B"/>
    <w:rsid w:val="00E30743"/>
    <w:rsid w:val="00E31FE4"/>
    <w:rsid w:val="00E34A82"/>
    <w:rsid w:val="00E4163B"/>
    <w:rsid w:val="00E43B2D"/>
    <w:rsid w:val="00E45B8E"/>
    <w:rsid w:val="00E45F2D"/>
    <w:rsid w:val="00E47D99"/>
    <w:rsid w:val="00E47E86"/>
    <w:rsid w:val="00E55F44"/>
    <w:rsid w:val="00E622F1"/>
    <w:rsid w:val="00E64D9F"/>
    <w:rsid w:val="00E70661"/>
    <w:rsid w:val="00E73D76"/>
    <w:rsid w:val="00E74820"/>
    <w:rsid w:val="00E74C7A"/>
    <w:rsid w:val="00E751BF"/>
    <w:rsid w:val="00E7650E"/>
    <w:rsid w:val="00E80442"/>
    <w:rsid w:val="00E80592"/>
    <w:rsid w:val="00E810AA"/>
    <w:rsid w:val="00E83A7B"/>
    <w:rsid w:val="00E86431"/>
    <w:rsid w:val="00E8748E"/>
    <w:rsid w:val="00E907F5"/>
    <w:rsid w:val="00E95076"/>
    <w:rsid w:val="00E953DE"/>
    <w:rsid w:val="00E95C41"/>
    <w:rsid w:val="00EA34A0"/>
    <w:rsid w:val="00EA64FD"/>
    <w:rsid w:val="00EB16D7"/>
    <w:rsid w:val="00EB377D"/>
    <w:rsid w:val="00ED1568"/>
    <w:rsid w:val="00ED5C4D"/>
    <w:rsid w:val="00EE1D7E"/>
    <w:rsid w:val="00EE1F9C"/>
    <w:rsid w:val="00EE375E"/>
    <w:rsid w:val="00EE64CC"/>
    <w:rsid w:val="00EE6E9C"/>
    <w:rsid w:val="00EE6F1D"/>
    <w:rsid w:val="00EF60EE"/>
    <w:rsid w:val="00F02173"/>
    <w:rsid w:val="00F05927"/>
    <w:rsid w:val="00F11641"/>
    <w:rsid w:val="00F2213B"/>
    <w:rsid w:val="00F23AB8"/>
    <w:rsid w:val="00F26BB4"/>
    <w:rsid w:val="00F27031"/>
    <w:rsid w:val="00F30CB4"/>
    <w:rsid w:val="00F31DEE"/>
    <w:rsid w:val="00F41DFA"/>
    <w:rsid w:val="00F42512"/>
    <w:rsid w:val="00F42902"/>
    <w:rsid w:val="00F436B6"/>
    <w:rsid w:val="00F43F8E"/>
    <w:rsid w:val="00F459E7"/>
    <w:rsid w:val="00F4629D"/>
    <w:rsid w:val="00F47E23"/>
    <w:rsid w:val="00F5366A"/>
    <w:rsid w:val="00F53BB9"/>
    <w:rsid w:val="00F608A1"/>
    <w:rsid w:val="00F61B6C"/>
    <w:rsid w:val="00F65699"/>
    <w:rsid w:val="00F66532"/>
    <w:rsid w:val="00F74EE3"/>
    <w:rsid w:val="00F80718"/>
    <w:rsid w:val="00F85068"/>
    <w:rsid w:val="00F865C9"/>
    <w:rsid w:val="00F902A1"/>
    <w:rsid w:val="00F90C4A"/>
    <w:rsid w:val="00F92B9A"/>
    <w:rsid w:val="00F96732"/>
    <w:rsid w:val="00F97CC2"/>
    <w:rsid w:val="00FA1408"/>
    <w:rsid w:val="00FA4535"/>
    <w:rsid w:val="00FB2105"/>
    <w:rsid w:val="00FB3EDB"/>
    <w:rsid w:val="00FB615D"/>
    <w:rsid w:val="00FB75AE"/>
    <w:rsid w:val="00FC11F5"/>
    <w:rsid w:val="00FC14FC"/>
    <w:rsid w:val="00FC18A5"/>
    <w:rsid w:val="00FC263C"/>
    <w:rsid w:val="00FC77B8"/>
    <w:rsid w:val="00FD4BA8"/>
    <w:rsid w:val="00FE0923"/>
    <w:rsid w:val="00FE5640"/>
    <w:rsid w:val="00FE62E0"/>
    <w:rsid w:val="00FE6A16"/>
    <w:rsid w:val="00FE7878"/>
    <w:rsid w:val="00FF2C54"/>
    <w:rsid w:val="00FF3C1D"/>
    <w:rsid w:val="00FF78C8"/>
    <w:rsid w:val="0208488A"/>
    <w:rsid w:val="04FB3DEF"/>
    <w:rsid w:val="070A63D1"/>
    <w:rsid w:val="0A4B13FD"/>
    <w:rsid w:val="0D481863"/>
    <w:rsid w:val="0ECE6EC6"/>
    <w:rsid w:val="0F0209D8"/>
    <w:rsid w:val="13E962F1"/>
    <w:rsid w:val="18CE5F1F"/>
    <w:rsid w:val="1A3572BE"/>
    <w:rsid w:val="1ACA5D12"/>
    <w:rsid w:val="21AB649E"/>
    <w:rsid w:val="223456A9"/>
    <w:rsid w:val="23A3538F"/>
    <w:rsid w:val="241C4138"/>
    <w:rsid w:val="24FA65C3"/>
    <w:rsid w:val="2525208B"/>
    <w:rsid w:val="25EA1520"/>
    <w:rsid w:val="2ABE5D5D"/>
    <w:rsid w:val="2B8B06BA"/>
    <w:rsid w:val="2C14051B"/>
    <w:rsid w:val="33DE7334"/>
    <w:rsid w:val="370B77F5"/>
    <w:rsid w:val="399D1666"/>
    <w:rsid w:val="3A556000"/>
    <w:rsid w:val="3B3335DB"/>
    <w:rsid w:val="3E59147C"/>
    <w:rsid w:val="44CA1DE4"/>
    <w:rsid w:val="46F725A5"/>
    <w:rsid w:val="485E082B"/>
    <w:rsid w:val="48B21399"/>
    <w:rsid w:val="48E45DA0"/>
    <w:rsid w:val="49061E2B"/>
    <w:rsid w:val="4F842857"/>
    <w:rsid w:val="518625A1"/>
    <w:rsid w:val="51916DB4"/>
    <w:rsid w:val="527652DE"/>
    <w:rsid w:val="53404035"/>
    <w:rsid w:val="558B7CD2"/>
    <w:rsid w:val="57937042"/>
    <w:rsid w:val="57A8173B"/>
    <w:rsid w:val="5C1510FE"/>
    <w:rsid w:val="5D8B1E66"/>
    <w:rsid w:val="5F9C2907"/>
    <w:rsid w:val="60000334"/>
    <w:rsid w:val="640C6713"/>
    <w:rsid w:val="68554156"/>
    <w:rsid w:val="6B15716B"/>
    <w:rsid w:val="6CE1329A"/>
    <w:rsid w:val="6D92333A"/>
    <w:rsid w:val="6F0F48DC"/>
    <w:rsid w:val="71EC3B9C"/>
    <w:rsid w:val="73112E8E"/>
    <w:rsid w:val="7B101CC5"/>
    <w:rsid w:val="7C773348"/>
    <w:rsid w:val="7E4124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9"/>
    <w:pPr>
      <w:keepNext/>
      <w:widowControl/>
      <w:numPr>
        <w:ilvl w:val="3"/>
        <w:numId w:val="1"/>
      </w:numPr>
      <w:spacing w:line="500" w:lineRule="exact"/>
      <w:ind w:right="206" w:rightChars="98"/>
      <w:outlineLvl w:val="0"/>
    </w:pPr>
    <w:rPr>
      <w:rFonts w:ascii="Times New Roman" w:hAnsi="Times New Roman" w:eastAsia="宋体" w:cs="Times New Roman"/>
      <w:sz w:val="28"/>
      <w:szCs w:val="24"/>
    </w:rPr>
  </w:style>
  <w:style w:type="paragraph" w:styleId="3">
    <w:name w:val="heading 2"/>
    <w:basedOn w:val="1"/>
    <w:next w:val="1"/>
    <w:link w:val="47"/>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8"/>
    <w:unhideWhenUsed/>
    <w:qFormat/>
    <w:uiPriority w:val="9"/>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1"/>
    <w:link w:val="49"/>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50"/>
    <w:qFormat/>
    <w:uiPriority w:val="9"/>
    <w:pPr>
      <w:keepNext/>
      <w:keepLines/>
      <w:adjustRightInd w:val="0"/>
      <w:spacing w:before="280" w:after="290" w:line="376" w:lineRule="atLeast"/>
      <w:textAlignment w:val="baseline"/>
      <w:outlineLvl w:val="4"/>
    </w:pPr>
    <w:rPr>
      <w:rFonts w:ascii="Times New Roman" w:hAnsi="Times New Roman" w:eastAsia="宋体" w:cs="Times New Roman"/>
      <w:b/>
      <w:spacing w:val="20"/>
      <w:kern w:val="0"/>
      <w:sz w:val="28"/>
      <w:szCs w:val="20"/>
    </w:rPr>
  </w:style>
  <w:style w:type="paragraph" w:styleId="7">
    <w:name w:val="heading 6"/>
    <w:basedOn w:val="1"/>
    <w:next w:val="1"/>
    <w:link w:val="51"/>
    <w:qFormat/>
    <w:uiPriority w:val="9"/>
    <w:pPr>
      <w:keepNext/>
      <w:keepLines/>
      <w:autoSpaceDE w:val="0"/>
      <w:autoSpaceDN w:val="0"/>
      <w:adjustRightInd w:val="0"/>
      <w:spacing w:before="240" w:after="64" w:line="320" w:lineRule="atLeast"/>
      <w:textAlignment w:val="baseline"/>
      <w:outlineLvl w:val="5"/>
    </w:pPr>
    <w:rPr>
      <w:rFonts w:ascii="黑体" w:hAnsi="Tms Rmn" w:eastAsia="黑体" w:cs="Times New Roman"/>
      <w:b/>
      <w:spacing w:val="20"/>
      <w:kern w:val="0"/>
      <w:sz w:val="24"/>
      <w:szCs w:val="20"/>
    </w:rPr>
  </w:style>
  <w:style w:type="paragraph" w:styleId="8">
    <w:name w:val="heading 7"/>
    <w:basedOn w:val="1"/>
    <w:next w:val="1"/>
    <w:link w:val="52"/>
    <w:qFormat/>
    <w:uiPriority w:val="9"/>
    <w:pPr>
      <w:keepNext/>
      <w:keepLines/>
      <w:adjustRightInd w:val="0"/>
      <w:spacing w:before="240" w:after="64" w:line="320" w:lineRule="atLeast"/>
      <w:textAlignment w:val="baseline"/>
      <w:outlineLvl w:val="6"/>
    </w:pPr>
    <w:rPr>
      <w:rFonts w:ascii="Times New Roman" w:hAnsi="Times New Roman" w:eastAsia="宋体" w:cs="Times New Roman"/>
      <w:b/>
      <w:spacing w:val="20"/>
      <w:kern w:val="0"/>
      <w:sz w:val="24"/>
      <w:szCs w:val="20"/>
    </w:rPr>
  </w:style>
  <w:style w:type="paragraph" w:styleId="9">
    <w:name w:val="heading 8"/>
    <w:basedOn w:val="1"/>
    <w:next w:val="1"/>
    <w:link w:val="53"/>
    <w:qFormat/>
    <w:uiPriority w:val="9"/>
    <w:pPr>
      <w:keepNext/>
      <w:keepLines/>
      <w:adjustRightInd w:val="0"/>
      <w:spacing w:before="240" w:after="64" w:line="320" w:lineRule="atLeast"/>
      <w:textAlignment w:val="baseline"/>
      <w:outlineLvl w:val="7"/>
    </w:pPr>
    <w:rPr>
      <w:rFonts w:ascii="Arial" w:hAnsi="Arial" w:eastAsia="黑体" w:cs="Times New Roman"/>
      <w:spacing w:val="20"/>
      <w:kern w:val="0"/>
      <w:sz w:val="24"/>
      <w:szCs w:val="20"/>
    </w:rPr>
  </w:style>
  <w:style w:type="paragraph" w:styleId="10">
    <w:name w:val="heading 9"/>
    <w:basedOn w:val="1"/>
    <w:next w:val="1"/>
    <w:link w:val="54"/>
    <w:qFormat/>
    <w:uiPriority w:val="9"/>
    <w:pPr>
      <w:keepNext/>
      <w:keepLines/>
      <w:adjustRightInd w:val="0"/>
      <w:spacing w:before="240" w:after="64" w:line="320" w:lineRule="atLeast"/>
      <w:textAlignment w:val="baseline"/>
      <w:outlineLvl w:val="8"/>
    </w:pPr>
    <w:rPr>
      <w:rFonts w:ascii="Arial" w:hAnsi="Arial" w:eastAsia="黑体" w:cs="Times New Roman"/>
      <w:spacing w:val="20"/>
      <w:kern w:val="0"/>
      <w:sz w:val="24"/>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eastAsia="宋体" w:cs="Times New Roman"/>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link w:val="89"/>
    <w:semiHidden/>
    <w:unhideWhenUsed/>
    <w:qFormat/>
    <w:uiPriority w:val="99"/>
    <w:rPr>
      <w:rFonts w:ascii="宋体" w:hAnsi="Calibri" w:eastAsia="宋体" w:cs="Times New Roman"/>
      <w:sz w:val="18"/>
      <w:szCs w:val="18"/>
    </w:rPr>
  </w:style>
  <w:style w:type="paragraph" w:styleId="14">
    <w:name w:val="annotation text"/>
    <w:basedOn w:val="1"/>
    <w:link w:val="87"/>
    <w:semiHidden/>
    <w:qFormat/>
    <w:uiPriority w:val="99"/>
    <w:pPr>
      <w:widowControl/>
      <w:numPr>
        <w:ilvl w:val="2"/>
        <w:numId w:val="2"/>
      </w:numPr>
      <w:tabs>
        <w:tab w:val="clear" w:pos="2510"/>
      </w:tabs>
      <w:spacing w:after="200" w:line="276" w:lineRule="auto"/>
      <w:ind w:left="0" w:firstLine="0"/>
      <w:jc w:val="left"/>
    </w:pPr>
    <w:rPr>
      <w:rFonts w:ascii="Calibri" w:hAnsi="Calibri" w:eastAsia="宋体" w:cs="Times New Roman"/>
      <w:kern w:val="0"/>
      <w:sz w:val="22"/>
      <w:lang w:eastAsia="en-US"/>
    </w:rPr>
  </w:style>
  <w:style w:type="paragraph" w:styleId="15">
    <w:name w:val="Body Text 3"/>
    <w:basedOn w:val="1"/>
    <w:link w:val="65"/>
    <w:qFormat/>
    <w:uiPriority w:val="0"/>
    <w:pPr>
      <w:spacing w:after="120"/>
    </w:pPr>
    <w:rPr>
      <w:rFonts w:ascii="Times New Roman" w:hAnsi="Times New Roman" w:eastAsia="宋体" w:cs="Times New Roman"/>
      <w:sz w:val="16"/>
      <w:szCs w:val="16"/>
    </w:rPr>
  </w:style>
  <w:style w:type="paragraph" w:styleId="16">
    <w:name w:val="Body Text"/>
    <w:basedOn w:val="1"/>
    <w:link w:val="76"/>
    <w:qFormat/>
    <w:uiPriority w:val="0"/>
    <w:pPr>
      <w:widowControl/>
      <w:spacing w:after="120"/>
      <w:jc w:val="left"/>
    </w:pPr>
    <w:rPr>
      <w:rFonts w:ascii="Times New Roman" w:hAnsi="Times New Roman" w:eastAsia="宋体" w:cs="Times New Roman"/>
      <w:kern w:val="0"/>
      <w:sz w:val="24"/>
      <w:szCs w:val="20"/>
      <w:lang w:val="de-DE"/>
    </w:rPr>
  </w:style>
  <w:style w:type="paragraph" w:styleId="17">
    <w:name w:val="Body Text Indent"/>
    <w:basedOn w:val="1"/>
    <w:link w:val="64"/>
    <w:qFormat/>
    <w:uiPriority w:val="0"/>
    <w:pPr>
      <w:widowControl/>
      <w:spacing w:before="60" w:after="120"/>
      <w:ind w:left="720" w:right="14"/>
      <w:jc w:val="left"/>
    </w:pPr>
    <w:rPr>
      <w:rFonts w:ascii="Arial" w:hAnsi="Arial" w:eastAsia="宋体" w:cs="Times New Roman"/>
      <w:snapToGrid w:val="0"/>
      <w:kern w:val="0"/>
      <w:sz w:val="20"/>
      <w:szCs w:val="20"/>
      <w:lang w:eastAsia="en-US"/>
    </w:rPr>
  </w:style>
  <w:style w:type="paragraph" w:styleId="18">
    <w:name w:val="toc 5"/>
    <w:basedOn w:val="1"/>
    <w:next w:val="1"/>
    <w:unhideWhenUsed/>
    <w:qFormat/>
    <w:uiPriority w:val="39"/>
    <w:pPr>
      <w:ind w:left="1680" w:leftChars="800"/>
    </w:pPr>
    <w:rPr>
      <w:rFonts w:ascii="Calibri" w:hAnsi="Calibri" w:eastAsia="宋体" w:cs="Times New Roman"/>
    </w:rPr>
  </w:style>
  <w:style w:type="paragraph" w:styleId="19">
    <w:name w:val="toc 3"/>
    <w:basedOn w:val="1"/>
    <w:next w:val="1"/>
    <w:unhideWhenUsed/>
    <w:qFormat/>
    <w:uiPriority w:val="39"/>
    <w:pPr>
      <w:numPr>
        <w:ilvl w:val="1"/>
        <w:numId w:val="3"/>
      </w:numPr>
      <w:tabs>
        <w:tab w:val="clear" w:pos="-720"/>
      </w:tabs>
      <w:ind w:left="840" w:leftChars="400" w:firstLine="0"/>
    </w:pPr>
    <w:rPr>
      <w:rFonts w:ascii="Calibri" w:hAnsi="Calibri" w:eastAsia="宋体" w:cs="Times New Roman"/>
    </w:rPr>
  </w:style>
  <w:style w:type="paragraph" w:styleId="20">
    <w:name w:val="Plain Text"/>
    <w:basedOn w:val="1"/>
    <w:link w:val="58"/>
    <w:qFormat/>
    <w:uiPriority w:val="0"/>
    <w:rPr>
      <w:rFonts w:ascii="宋体" w:hAnsi="Courier New" w:eastAsia="宋体" w:cs="Times New Roman"/>
      <w:szCs w:val="20"/>
    </w:rPr>
  </w:style>
  <w:style w:type="paragraph" w:styleId="21">
    <w:name w:val="toc 8"/>
    <w:basedOn w:val="1"/>
    <w:next w:val="1"/>
    <w:unhideWhenUsed/>
    <w:qFormat/>
    <w:uiPriority w:val="39"/>
    <w:pPr>
      <w:ind w:left="2940" w:leftChars="1400"/>
    </w:pPr>
    <w:rPr>
      <w:rFonts w:ascii="Calibri" w:hAnsi="Calibri" w:eastAsia="宋体" w:cs="Times New Roman"/>
    </w:rPr>
  </w:style>
  <w:style w:type="paragraph" w:styleId="22">
    <w:name w:val="Date"/>
    <w:basedOn w:val="1"/>
    <w:next w:val="1"/>
    <w:link w:val="62"/>
    <w:qFormat/>
    <w:uiPriority w:val="0"/>
    <w:rPr>
      <w:rFonts w:ascii="Times New Roman" w:hAnsi="Times New Roman" w:eastAsia="宋体" w:cs="Times New Roman"/>
      <w:sz w:val="32"/>
      <w:szCs w:val="20"/>
    </w:rPr>
  </w:style>
  <w:style w:type="paragraph" w:styleId="23">
    <w:name w:val="Body Text Indent 2"/>
    <w:basedOn w:val="1"/>
    <w:link w:val="73"/>
    <w:qFormat/>
    <w:uiPriority w:val="0"/>
    <w:pPr>
      <w:widowControl/>
      <w:spacing w:after="120" w:line="480" w:lineRule="auto"/>
      <w:ind w:left="420" w:leftChars="200"/>
      <w:jc w:val="left"/>
    </w:pPr>
    <w:rPr>
      <w:rFonts w:ascii="Calibri" w:hAnsi="Calibri" w:eastAsia="宋体" w:cs="Times New Roman"/>
      <w:kern w:val="0"/>
      <w:sz w:val="22"/>
      <w:lang w:eastAsia="en-US"/>
    </w:rPr>
  </w:style>
  <w:style w:type="paragraph" w:styleId="24">
    <w:name w:val="Balloon Text"/>
    <w:basedOn w:val="1"/>
    <w:link w:val="56"/>
    <w:semiHidden/>
    <w:qFormat/>
    <w:uiPriority w:val="99"/>
    <w:rPr>
      <w:rFonts w:ascii="Calibri" w:hAnsi="Calibri" w:eastAsia="宋体" w:cs="Times New Roman"/>
      <w:sz w:val="18"/>
      <w:szCs w:val="18"/>
    </w:rPr>
  </w:style>
  <w:style w:type="paragraph" w:styleId="25">
    <w:name w:val="footer"/>
    <w:basedOn w:val="1"/>
    <w:link w:val="45"/>
    <w:unhideWhenUsed/>
    <w:qFormat/>
    <w:uiPriority w:val="99"/>
    <w:pPr>
      <w:tabs>
        <w:tab w:val="center" w:pos="4153"/>
        <w:tab w:val="right" w:pos="8306"/>
      </w:tabs>
      <w:snapToGrid w:val="0"/>
      <w:jc w:val="left"/>
    </w:pPr>
    <w:rPr>
      <w:sz w:val="18"/>
      <w:szCs w:val="18"/>
    </w:rPr>
  </w:style>
  <w:style w:type="paragraph" w:styleId="26">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adjustRightInd w:val="0"/>
      <w:spacing w:line="312" w:lineRule="atLeast"/>
      <w:textAlignment w:val="baseline"/>
    </w:pPr>
    <w:rPr>
      <w:rFonts w:ascii="Times New Roman" w:hAnsi="Times New Roman" w:eastAsia="宋体" w:cs="Times New Roman"/>
      <w:kern w:val="0"/>
      <w:sz w:val="24"/>
      <w:szCs w:val="20"/>
    </w:rPr>
  </w:style>
  <w:style w:type="paragraph" w:styleId="28">
    <w:name w:val="toc 4"/>
    <w:basedOn w:val="1"/>
    <w:next w:val="1"/>
    <w:unhideWhenUsed/>
    <w:qFormat/>
    <w:uiPriority w:val="39"/>
    <w:pPr>
      <w:ind w:left="1260" w:leftChars="600"/>
    </w:pPr>
    <w:rPr>
      <w:rFonts w:ascii="Calibri" w:hAnsi="Calibri" w:eastAsia="宋体" w:cs="Times New Roman"/>
    </w:rPr>
  </w:style>
  <w:style w:type="paragraph" w:styleId="29">
    <w:name w:val="Subtitle"/>
    <w:basedOn w:val="1"/>
    <w:next w:val="1"/>
    <w:link w:val="88"/>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0">
    <w:name w:val="toc 6"/>
    <w:basedOn w:val="1"/>
    <w:next w:val="1"/>
    <w:unhideWhenUsed/>
    <w:qFormat/>
    <w:uiPriority w:val="39"/>
    <w:pPr>
      <w:ind w:left="2100" w:leftChars="1000"/>
    </w:pPr>
    <w:rPr>
      <w:rFonts w:ascii="Calibri" w:hAnsi="Calibri" w:eastAsia="宋体" w:cs="Times New Roman"/>
    </w:rPr>
  </w:style>
  <w:style w:type="paragraph" w:styleId="31">
    <w:name w:val="Body Text Indent 3"/>
    <w:basedOn w:val="1"/>
    <w:link w:val="77"/>
    <w:qFormat/>
    <w:uiPriority w:val="0"/>
    <w:pPr>
      <w:spacing w:line="360" w:lineRule="auto"/>
      <w:ind w:left="720"/>
    </w:pPr>
    <w:rPr>
      <w:rFonts w:ascii="Calibri" w:hAnsi="Calibri" w:eastAsia="宋体" w:cs="Times New Roman"/>
      <w:kern w:val="0"/>
      <w:sz w:val="24"/>
    </w:rPr>
  </w:style>
  <w:style w:type="paragraph" w:styleId="32">
    <w:name w:val="toc 2"/>
    <w:basedOn w:val="1"/>
    <w:next w:val="1"/>
    <w:unhideWhenUsed/>
    <w:qFormat/>
    <w:uiPriority w:val="39"/>
    <w:pPr>
      <w:numPr>
        <w:ilvl w:val="2"/>
        <w:numId w:val="4"/>
      </w:numPr>
      <w:ind w:left="420" w:leftChars="200" w:firstLine="0"/>
    </w:pPr>
    <w:rPr>
      <w:rFonts w:ascii="Calibri" w:hAnsi="Calibri" w:eastAsia="宋体" w:cs="Times New Roman"/>
    </w:rPr>
  </w:style>
  <w:style w:type="paragraph" w:styleId="33">
    <w:name w:val="toc 9"/>
    <w:basedOn w:val="1"/>
    <w:next w:val="1"/>
    <w:unhideWhenUsed/>
    <w:qFormat/>
    <w:uiPriority w:val="39"/>
    <w:pPr>
      <w:ind w:left="3360" w:leftChars="1600"/>
    </w:pPr>
    <w:rPr>
      <w:rFonts w:ascii="Calibri" w:hAnsi="Calibri" w:eastAsia="宋体" w:cs="Times New Roman"/>
    </w:rPr>
  </w:style>
  <w:style w:type="paragraph" w:styleId="34">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eastAsia="宋体" w:cs="宋体"/>
      <w:kern w:val="0"/>
      <w:sz w:val="24"/>
      <w:szCs w:val="24"/>
    </w:rPr>
  </w:style>
  <w:style w:type="paragraph" w:styleId="35">
    <w:name w:val="Title"/>
    <w:basedOn w:val="1"/>
    <w:next w:val="1"/>
    <w:link w:val="59"/>
    <w:qFormat/>
    <w:uiPriority w:val="0"/>
    <w:pPr>
      <w:spacing w:before="240" w:after="60"/>
      <w:jc w:val="center"/>
      <w:outlineLvl w:val="0"/>
    </w:pPr>
    <w:rPr>
      <w:rFonts w:ascii="Cambria" w:hAnsi="Cambria" w:eastAsia="仿宋_GB2312" w:cs="Times New Roman"/>
      <w:b/>
      <w:bCs/>
      <w:sz w:val="32"/>
      <w:szCs w:val="32"/>
    </w:rPr>
  </w:style>
  <w:style w:type="paragraph" w:styleId="36">
    <w:name w:val="annotation subject"/>
    <w:basedOn w:val="14"/>
    <w:next w:val="14"/>
    <w:link w:val="86"/>
    <w:unhideWhenUsed/>
    <w:qFormat/>
    <w:uiPriority w:val="99"/>
    <w:pPr>
      <w:widowControl w:val="0"/>
      <w:spacing w:after="0" w:line="240" w:lineRule="auto"/>
    </w:pPr>
    <w:rPr>
      <w:b/>
      <w:bCs/>
      <w:kern w:val="2"/>
      <w:sz w:val="21"/>
    </w:rPr>
  </w:style>
  <w:style w:type="table" w:styleId="38">
    <w:name w:val="Table Grid"/>
    <w:basedOn w:val="3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basedOn w:val="39"/>
    <w:qFormat/>
    <w:uiPriority w:val="0"/>
  </w:style>
  <w:style w:type="character" w:styleId="41">
    <w:name w:val="FollowedHyperlink"/>
    <w:qFormat/>
    <w:uiPriority w:val="0"/>
    <w:rPr>
      <w:color w:val="800080"/>
      <w:u w:val="single"/>
    </w:rPr>
  </w:style>
  <w:style w:type="character" w:styleId="42">
    <w:name w:val="Hyperlink"/>
    <w:basedOn w:val="39"/>
    <w:qFormat/>
    <w:uiPriority w:val="99"/>
    <w:rPr>
      <w:rFonts w:cs="Times New Roman"/>
      <w:color w:val="0000FF"/>
      <w:u w:val="single"/>
    </w:rPr>
  </w:style>
  <w:style w:type="character" w:styleId="43">
    <w:name w:val="annotation reference"/>
    <w:unhideWhenUsed/>
    <w:qFormat/>
    <w:uiPriority w:val="0"/>
    <w:rPr>
      <w:sz w:val="21"/>
      <w:szCs w:val="21"/>
    </w:rPr>
  </w:style>
  <w:style w:type="character" w:customStyle="1" w:styleId="44">
    <w:name w:val="页眉 字符"/>
    <w:basedOn w:val="39"/>
    <w:link w:val="26"/>
    <w:qFormat/>
    <w:uiPriority w:val="99"/>
    <w:rPr>
      <w:sz w:val="18"/>
      <w:szCs w:val="18"/>
    </w:rPr>
  </w:style>
  <w:style w:type="character" w:customStyle="1" w:styleId="45">
    <w:name w:val="页脚 字符"/>
    <w:basedOn w:val="39"/>
    <w:link w:val="25"/>
    <w:qFormat/>
    <w:uiPriority w:val="99"/>
    <w:rPr>
      <w:sz w:val="18"/>
      <w:szCs w:val="18"/>
    </w:rPr>
  </w:style>
  <w:style w:type="character" w:customStyle="1" w:styleId="46">
    <w:name w:val="标题 1 字符"/>
    <w:basedOn w:val="39"/>
    <w:link w:val="2"/>
    <w:qFormat/>
    <w:uiPriority w:val="9"/>
    <w:rPr>
      <w:rFonts w:ascii="Times New Roman" w:hAnsi="Times New Roman" w:eastAsia="宋体" w:cs="Times New Roman"/>
      <w:sz w:val="28"/>
      <w:szCs w:val="24"/>
    </w:rPr>
  </w:style>
  <w:style w:type="character" w:customStyle="1" w:styleId="47">
    <w:name w:val="标题 2 字符"/>
    <w:basedOn w:val="39"/>
    <w:link w:val="3"/>
    <w:qFormat/>
    <w:uiPriority w:val="9"/>
    <w:rPr>
      <w:rFonts w:ascii="Cambria" w:hAnsi="Cambria" w:eastAsia="宋体" w:cs="Times New Roman"/>
      <w:b/>
      <w:bCs/>
      <w:sz w:val="32"/>
      <w:szCs w:val="32"/>
    </w:rPr>
  </w:style>
  <w:style w:type="character" w:customStyle="1" w:styleId="48">
    <w:name w:val="标题 3 字符"/>
    <w:basedOn w:val="39"/>
    <w:link w:val="4"/>
    <w:qFormat/>
    <w:uiPriority w:val="9"/>
    <w:rPr>
      <w:rFonts w:ascii="Calibri" w:hAnsi="Calibri" w:eastAsia="宋体" w:cs="Times New Roman"/>
      <w:b/>
      <w:bCs/>
      <w:sz w:val="32"/>
      <w:szCs w:val="32"/>
    </w:rPr>
  </w:style>
  <w:style w:type="character" w:customStyle="1" w:styleId="49">
    <w:name w:val="标题 4 字符"/>
    <w:basedOn w:val="39"/>
    <w:link w:val="5"/>
    <w:qFormat/>
    <w:uiPriority w:val="9"/>
    <w:rPr>
      <w:rFonts w:ascii="Cambria" w:hAnsi="Cambria" w:eastAsia="宋体" w:cs="Times New Roman"/>
      <w:b/>
      <w:bCs/>
      <w:sz w:val="28"/>
      <w:szCs w:val="28"/>
    </w:rPr>
  </w:style>
  <w:style w:type="character" w:customStyle="1" w:styleId="50">
    <w:name w:val="标题 5 字符"/>
    <w:basedOn w:val="39"/>
    <w:link w:val="6"/>
    <w:qFormat/>
    <w:uiPriority w:val="9"/>
    <w:rPr>
      <w:rFonts w:ascii="Times New Roman" w:hAnsi="Times New Roman" w:eastAsia="宋体" w:cs="Times New Roman"/>
      <w:b/>
      <w:spacing w:val="20"/>
      <w:kern w:val="0"/>
      <w:sz w:val="28"/>
      <w:szCs w:val="20"/>
    </w:rPr>
  </w:style>
  <w:style w:type="character" w:customStyle="1" w:styleId="51">
    <w:name w:val="标题 6 字符"/>
    <w:basedOn w:val="39"/>
    <w:link w:val="7"/>
    <w:qFormat/>
    <w:uiPriority w:val="9"/>
    <w:rPr>
      <w:rFonts w:ascii="黑体" w:hAnsi="Tms Rmn" w:eastAsia="黑体" w:cs="Times New Roman"/>
      <w:b/>
      <w:spacing w:val="20"/>
      <w:kern w:val="0"/>
      <w:sz w:val="24"/>
      <w:szCs w:val="20"/>
    </w:rPr>
  </w:style>
  <w:style w:type="character" w:customStyle="1" w:styleId="52">
    <w:name w:val="标题 7 字符"/>
    <w:basedOn w:val="39"/>
    <w:link w:val="8"/>
    <w:qFormat/>
    <w:uiPriority w:val="9"/>
    <w:rPr>
      <w:rFonts w:ascii="Times New Roman" w:hAnsi="Times New Roman" w:eastAsia="宋体" w:cs="Times New Roman"/>
      <w:b/>
      <w:spacing w:val="20"/>
      <w:kern w:val="0"/>
      <w:sz w:val="24"/>
      <w:szCs w:val="20"/>
    </w:rPr>
  </w:style>
  <w:style w:type="character" w:customStyle="1" w:styleId="53">
    <w:name w:val="标题 8 字符"/>
    <w:basedOn w:val="39"/>
    <w:link w:val="9"/>
    <w:qFormat/>
    <w:uiPriority w:val="9"/>
    <w:rPr>
      <w:rFonts w:ascii="Arial" w:hAnsi="Arial" w:eastAsia="黑体" w:cs="Times New Roman"/>
      <w:spacing w:val="20"/>
      <w:kern w:val="0"/>
      <w:sz w:val="24"/>
      <w:szCs w:val="20"/>
    </w:rPr>
  </w:style>
  <w:style w:type="character" w:customStyle="1" w:styleId="54">
    <w:name w:val="标题 9 字符"/>
    <w:basedOn w:val="39"/>
    <w:link w:val="10"/>
    <w:qFormat/>
    <w:uiPriority w:val="9"/>
    <w:rPr>
      <w:rFonts w:ascii="Arial" w:hAnsi="Arial" w:eastAsia="黑体" w:cs="Times New Roman"/>
      <w:spacing w:val="20"/>
      <w:kern w:val="0"/>
      <w:sz w:val="24"/>
      <w:szCs w:val="20"/>
    </w:rPr>
  </w:style>
  <w:style w:type="paragraph" w:styleId="55">
    <w:name w:val="List Paragraph"/>
    <w:basedOn w:val="1"/>
    <w:qFormat/>
    <w:uiPriority w:val="34"/>
    <w:pPr>
      <w:ind w:firstLine="420" w:firstLineChars="200"/>
    </w:pPr>
    <w:rPr>
      <w:rFonts w:ascii="Calibri" w:hAnsi="Calibri" w:eastAsia="宋体" w:cs="Times New Roman"/>
    </w:rPr>
  </w:style>
  <w:style w:type="character" w:customStyle="1" w:styleId="56">
    <w:name w:val="批注框文本 字符"/>
    <w:basedOn w:val="39"/>
    <w:link w:val="24"/>
    <w:semiHidden/>
    <w:qFormat/>
    <w:uiPriority w:val="99"/>
    <w:rPr>
      <w:rFonts w:ascii="Calibri" w:hAnsi="Calibri" w:eastAsia="宋体" w:cs="Times New Roman"/>
      <w:sz w:val="18"/>
      <w:szCs w:val="18"/>
    </w:rPr>
  </w:style>
  <w:style w:type="paragraph" w:customStyle="1" w:styleId="57">
    <w:name w:val="TOC 标题1"/>
    <w:basedOn w:val="2"/>
    <w:next w:val="1"/>
    <w:qFormat/>
    <w:uiPriority w:val="39"/>
    <w:pPr>
      <w:keepLines/>
      <w:numPr>
        <w:ilvl w:val="0"/>
        <w:numId w:val="0"/>
      </w:numPr>
      <w:spacing w:before="480" w:line="276" w:lineRule="auto"/>
      <w:ind w:right="0" w:rightChars="0"/>
      <w:jc w:val="left"/>
      <w:outlineLvl w:val="9"/>
    </w:pPr>
    <w:rPr>
      <w:rFonts w:ascii="Cambria" w:hAnsi="Cambria"/>
      <w:b/>
      <w:bCs/>
      <w:color w:val="365F91"/>
      <w:kern w:val="0"/>
      <w:szCs w:val="28"/>
    </w:rPr>
  </w:style>
  <w:style w:type="character" w:customStyle="1" w:styleId="58">
    <w:name w:val="纯文本 字符"/>
    <w:basedOn w:val="39"/>
    <w:link w:val="20"/>
    <w:qFormat/>
    <w:uiPriority w:val="0"/>
    <w:rPr>
      <w:rFonts w:ascii="宋体" w:hAnsi="Courier New" w:eastAsia="宋体" w:cs="Times New Roman"/>
      <w:szCs w:val="20"/>
    </w:rPr>
  </w:style>
  <w:style w:type="character" w:customStyle="1" w:styleId="59">
    <w:name w:val="标题 字符"/>
    <w:basedOn w:val="39"/>
    <w:link w:val="35"/>
    <w:qFormat/>
    <w:uiPriority w:val="10"/>
    <w:rPr>
      <w:rFonts w:ascii="Cambria" w:hAnsi="Cambria" w:eastAsia="仿宋_GB2312" w:cs="Times New Roman"/>
      <w:b/>
      <w:bCs/>
      <w:sz w:val="32"/>
      <w:szCs w:val="32"/>
    </w:rPr>
  </w:style>
  <w:style w:type="character" w:customStyle="1" w:styleId="60">
    <w:name w:val="Title Char"/>
    <w:basedOn w:val="39"/>
    <w:qFormat/>
    <w:locked/>
    <w:uiPriority w:val="99"/>
    <w:rPr>
      <w:rFonts w:ascii="Cambria" w:hAnsi="Cambria" w:cs="Times New Roman"/>
      <w:b/>
      <w:bCs/>
      <w:sz w:val="32"/>
      <w:szCs w:val="32"/>
    </w:rPr>
  </w:style>
  <w:style w:type="paragraph" w:customStyle="1" w:styleId="61">
    <w:name w:val="正文1"/>
    <w:basedOn w:val="1"/>
    <w:qFormat/>
    <w:uiPriority w:val="0"/>
    <w:pPr>
      <w:adjustRightInd w:val="0"/>
      <w:spacing w:line="312" w:lineRule="atLeast"/>
      <w:textAlignment w:val="baseline"/>
    </w:pPr>
    <w:rPr>
      <w:rFonts w:ascii="楷体_GB2312" w:hAnsi="Times New Roman" w:eastAsia="楷体_GB2312" w:cs="Times New Roman"/>
      <w:kern w:val="0"/>
      <w:sz w:val="24"/>
      <w:szCs w:val="20"/>
    </w:rPr>
  </w:style>
  <w:style w:type="character" w:customStyle="1" w:styleId="62">
    <w:name w:val="日期 字符"/>
    <w:basedOn w:val="39"/>
    <w:link w:val="22"/>
    <w:qFormat/>
    <w:uiPriority w:val="0"/>
    <w:rPr>
      <w:rFonts w:ascii="Times New Roman" w:hAnsi="Times New Roman" w:eastAsia="宋体" w:cs="Times New Roman"/>
      <w:sz w:val="32"/>
      <w:szCs w:val="20"/>
    </w:rPr>
  </w:style>
  <w:style w:type="paragraph" w:customStyle="1" w:styleId="63">
    <w:name w:val="样式1"/>
    <w:basedOn w:val="1"/>
    <w:qFormat/>
    <w:uiPriority w:val="0"/>
    <w:pPr>
      <w:snapToGrid w:val="0"/>
      <w:spacing w:line="400" w:lineRule="exact"/>
      <w:ind w:firstLine="308" w:firstLineChars="128"/>
    </w:pPr>
    <w:rPr>
      <w:rFonts w:ascii="Times New Roman" w:hAnsi="Times New Roman" w:eastAsia="宋体" w:cs="Times New Roman"/>
      <w:b/>
      <w:bCs/>
      <w:color w:val="000000"/>
      <w:sz w:val="24"/>
      <w:szCs w:val="24"/>
    </w:rPr>
  </w:style>
  <w:style w:type="character" w:customStyle="1" w:styleId="64">
    <w:name w:val="正文文本缩进 字符"/>
    <w:basedOn w:val="39"/>
    <w:link w:val="17"/>
    <w:qFormat/>
    <w:uiPriority w:val="0"/>
    <w:rPr>
      <w:rFonts w:ascii="Arial" w:hAnsi="Arial" w:eastAsia="宋体" w:cs="Times New Roman"/>
      <w:snapToGrid w:val="0"/>
      <w:kern w:val="0"/>
      <w:sz w:val="20"/>
      <w:szCs w:val="20"/>
      <w:lang w:eastAsia="en-US"/>
    </w:rPr>
  </w:style>
  <w:style w:type="character" w:customStyle="1" w:styleId="65">
    <w:name w:val="正文文本 3 字符"/>
    <w:basedOn w:val="39"/>
    <w:link w:val="15"/>
    <w:qFormat/>
    <w:uiPriority w:val="0"/>
    <w:rPr>
      <w:rFonts w:ascii="Times New Roman" w:hAnsi="Times New Roman" w:eastAsia="宋体" w:cs="Times New Roman"/>
      <w:sz w:val="16"/>
      <w:szCs w:val="16"/>
    </w:rPr>
  </w:style>
  <w:style w:type="paragraph" w:customStyle="1" w:styleId="66">
    <w:name w:val="Bullets"/>
    <w:basedOn w:val="1"/>
    <w:qFormat/>
    <w:uiPriority w:val="0"/>
    <w:pPr>
      <w:widowControl/>
      <w:numPr>
        <w:ilvl w:val="0"/>
        <w:numId w:val="5"/>
      </w:numPr>
      <w:spacing w:line="276" w:lineRule="auto"/>
      <w:jc w:val="left"/>
    </w:pPr>
    <w:rPr>
      <w:rFonts w:ascii="Arial" w:hAnsi="Arial" w:eastAsia="宋体" w:cs="Times New Roman"/>
      <w:kern w:val="0"/>
      <w:sz w:val="20"/>
      <w:lang w:eastAsia="en-US"/>
    </w:rPr>
  </w:style>
  <w:style w:type="paragraph" w:customStyle="1" w:styleId="67">
    <w:name w:val="Letter List"/>
    <w:basedOn w:val="66"/>
    <w:qFormat/>
    <w:uiPriority w:val="0"/>
    <w:pPr>
      <w:numPr>
        <w:ilvl w:val="1"/>
      </w:numPr>
    </w:pPr>
  </w:style>
  <w:style w:type="paragraph" w:customStyle="1" w:styleId="68">
    <w:name w:val="Char Char Char Char Char Char Char"/>
    <w:basedOn w:val="1"/>
    <w:qFormat/>
    <w:uiPriority w:val="0"/>
    <w:rPr>
      <w:rFonts w:ascii="Tahoma" w:hAnsi="Tahoma" w:eastAsia="宋体" w:cs="Times New Roman"/>
      <w:sz w:val="24"/>
      <w:szCs w:val="24"/>
    </w:rPr>
  </w:style>
  <w:style w:type="paragraph" w:customStyle="1" w:styleId="69">
    <w:name w:val="texte 2"/>
    <w:basedOn w:val="1"/>
    <w:qFormat/>
    <w:uiPriority w:val="0"/>
    <w:pPr>
      <w:widowControl/>
      <w:spacing w:before="120"/>
      <w:ind w:left="284"/>
    </w:pPr>
    <w:rPr>
      <w:rFonts w:ascii="Times New Roman" w:hAnsi="Times New Roman" w:eastAsia="宋体" w:cs="Times New Roman"/>
      <w:kern w:val="0"/>
      <w:sz w:val="24"/>
      <w:szCs w:val="20"/>
      <w:lang w:val="fr-FR" w:eastAsia="en-US"/>
    </w:rPr>
  </w:style>
  <w:style w:type="paragraph" w:customStyle="1" w:styleId="70">
    <w:name w:val="Char"/>
    <w:basedOn w:val="1"/>
    <w:qFormat/>
    <w:uiPriority w:val="0"/>
    <w:pPr>
      <w:spacing w:line="360" w:lineRule="auto"/>
      <w:ind w:left="420" w:firstLine="420"/>
    </w:pPr>
    <w:rPr>
      <w:rFonts w:ascii="Times New Roman" w:hAnsi="Times New Roman" w:eastAsia="宋体" w:cs="Times New Roman"/>
      <w:kern w:val="0"/>
      <w:sz w:val="24"/>
      <w:szCs w:val="21"/>
    </w:rPr>
  </w:style>
  <w:style w:type="paragraph" w:customStyle="1" w:styleId="71">
    <w:name w:val="Default"/>
    <w:qFormat/>
    <w:uiPriority w:val="0"/>
    <w:pPr>
      <w:widowControl w:val="0"/>
      <w:autoSpaceDE w:val="0"/>
      <w:autoSpaceDN w:val="0"/>
      <w:adjustRightInd w:val="0"/>
    </w:pPr>
    <w:rPr>
      <w:rFonts w:ascii="NKGHNB+Arial" w:hAnsi="Times New Roman" w:eastAsia="NKGHNB+Arial" w:cs="NKGHNB+Arial"/>
      <w:color w:val="000000"/>
      <w:sz w:val="24"/>
      <w:szCs w:val="24"/>
      <w:lang w:val="en-US" w:eastAsia="zh-CN" w:bidi="ar-SA"/>
    </w:rPr>
  </w:style>
  <w:style w:type="paragraph" w:customStyle="1" w:styleId="72">
    <w:name w:val="Text"/>
    <w:basedOn w:val="1"/>
    <w:qFormat/>
    <w:uiPriority w:val="99"/>
    <w:pPr>
      <w:widowControl/>
      <w:tabs>
        <w:tab w:val="left" w:pos="1134"/>
      </w:tabs>
      <w:ind w:left="1134"/>
    </w:pPr>
    <w:rPr>
      <w:rFonts w:ascii="Arial" w:hAnsi="Arial" w:eastAsia="宋体" w:cs="Times New Roman"/>
      <w:kern w:val="0"/>
      <w:sz w:val="22"/>
      <w:szCs w:val="20"/>
      <w:lang w:val="de-DE"/>
    </w:rPr>
  </w:style>
  <w:style w:type="character" w:customStyle="1" w:styleId="73">
    <w:name w:val="正文文本缩进 2 字符"/>
    <w:basedOn w:val="39"/>
    <w:link w:val="23"/>
    <w:qFormat/>
    <w:uiPriority w:val="0"/>
    <w:rPr>
      <w:rFonts w:ascii="Calibri" w:hAnsi="Calibri" w:eastAsia="宋体" w:cs="Times New Roman"/>
      <w:kern w:val="0"/>
      <w:sz w:val="22"/>
      <w:lang w:eastAsia="en-US"/>
    </w:rPr>
  </w:style>
  <w:style w:type="paragraph" w:customStyle="1" w:styleId="74">
    <w:name w:val="标题三"/>
    <w:basedOn w:val="4"/>
    <w:qFormat/>
    <w:uiPriority w:val="0"/>
    <w:pPr>
      <w:keepNext w:val="0"/>
      <w:keepLines w:val="0"/>
      <w:widowControl/>
      <w:spacing w:before="120" w:after="0" w:line="276" w:lineRule="auto"/>
      <w:ind w:left="2531" w:hanging="420"/>
      <w:jc w:val="left"/>
    </w:pPr>
    <w:rPr>
      <w:rFonts w:ascii="Arial" w:hAnsi="Arial"/>
      <w:b w:val="0"/>
      <w:kern w:val="0"/>
      <w:sz w:val="24"/>
      <w:szCs w:val="22"/>
    </w:rPr>
  </w:style>
  <w:style w:type="character" w:customStyle="1" w:styleId="75">
    <w:name w:val="批注文字 Char"/>
    <w:basedOn w:val="39"/>
    <w:semiHidden/>
    <w:qFormat/>
    <w:uiPriority w:val="99"/>
  </w:style>
  <w:style w:type="character" w:customStyle="1" w:styleId="76">
    <w:name w:val="正文文本 字符"/>
    <w:basedOn w:val="39"/>
    <w:link w:val="16"/>
    <w:qFormat/>
    <w:uiPriority w:val="0"/>
    <w:rPr>
      <w:rFonts w:ascii="Times New Roman" w:hAnsi="Times New Roman" w:eastAsia="宋体" w:cs="Times New Roman"/>
      <w:kern w:val="0"/>
      <w:sz w:val="24"/>
      <w:szCs w:val="20"/>
      <w:lang w:val="de-DE"/>
    </w:rPr>
  </w:style>
  <w:style w:type="character" w:customStyle="1" w:styleId="77">
    <w:name w:val="正文文本缩进 3 字符"/>
    <w:basedOn w:val="39"/>
    <w:link w:val="31"/>
    <w:qFormat/>
    <w:uiPriority w:val="0"/>
    <w:rPr>
      <w:rFonts w:ascii="Calibri" w:hAnsi="Calibri" w:eastAsia="宋体" w:cs="Times New Roman"/>
      <w:kern w:val="0"/>
      <w:sz w:val="24"/>
    </w:rPr>
  </w:style>
  <w:style w:type="paragraph" w:styleId="78">
    <w:name w:val="No Spacing"/>
    <w:link w:val="79"/>
    <w:qFormat/>
    <w:uiPriority w:val="1"/>
    <w:rPr>
      <w:rFonts w:ascii="Calibri" w:hAnsi="Calibri" w:eastAsia="宋体" w:cs="Times New Roman"/>
      <w:sz w:val="22"/>
      <w:szCs w:val="22"/>
      <w:lang w:val="en-US" w:eastAsia="zh-CN" w:bidi="ar-SA"/>
    </w:rPr>
  </w:style>
  <w:style w:type="character" w:customStyle="1" w:styleId="79">
    <w:name w:val="无间隔 字符"/>
    <w:link w:val="78"/>
    <w:qFormat/>
    <w:uiPriority w:val="1"/>
    <w:rPr>
      <w:rFonts w:ascii="Calibri" w:hAnsi="Calibri" w:eastAsia="宋体" w:cs="Times New Roman"/>
      <w:kern w:val="0"/>
      <w:sz w:val="22"/>
    </w:rPr>
  </w:style>
  <w:style w:type="paragraph" w:customStyle="1" w:styleId="80">
    <w:name w:val="Absatz 0/12"/>
    <w:basedOn w:val="1"/>
    <w:qFormat/>
    <w:uiPriority w:val="0"/>
    <w:pPr>
      <w:widowControl/>
      <w:numPr>
        <w:ilvl w:val="0"/>
        <w:numId w:val="3"/>
      </w:numPr>
      <w:spacing w:after="240"/>
      <w:ind w:left="0" w:firstLine="0"/>
      <w:jc w:val="left"/>
    </w:pPr>
    <w:rPr>
      <w:rFonts w:ascii="Arial" w:hAnsi="Arial" w:eastAsia="宋体" w:cs="Times New Roman"/>
      <w:kern w:val="0"/>
      <w:sz w:val="23"/>
      <w:szCs w:val="20"/>
      <w:lang w:val="de-AT"/>
    </w:rPr>
  </w:style>
  <w:style w:type="paragraph" w:customStyle="1" w:styleId="81">
    <w:name w:val="A-Flatter-Ez-2"/>
    <w:basedOn w:val="1"/>
    <w:qFormat/>
    <w:uiPriority w:val="0"/>
    <w:pPr>
      <w:widowControl/>
      <w:tabs>
        <w:tab w:val="left" w:pos="425"/>
        <w:tab w:val="left" w:pos="851"/>
      </w:tabs>
      <w:spacing w:line="280" w:lineRule="atLeast"/>
      <w:ind w:left="851"/>
      <w:jc w:val="left"/>
    </w:pPr>
    <w:rPr>
      <w:rFonts w:ascii="Arial" w:hAnsi="Arial" w:eastAsia="宋体" w:cs="Times New Roman"/>
      <w:kern w:val="0"/>
      <w:sz w:val="22"/>
      <w:szCs w:val="20"/>
    </w:rPr>
  </w:style>
  <w:style w:type="paragraph" w:customStyle="1" w:styleId="82">
    <w:name w:val="标题4"/>
    <w:basedOn w:val="5"/>
    <w:link w:val="83"/>
    <w:qFormat/>
    <w:uiPriority w:val="0"/>
    <w:rPr>
      <w:rFonts w:ascii="宋体" w:hAnsi="宋体" w:eastAsia="黑体"/>
      <w:kern w:val="0"/>
    </w:rPr>
  </w:style>
  <w:style w:type="character" w:customStyle="1" w:styleId="83">
    <w:name w:val="标题4 Char"/>
    <w:link w:val="82"/>
    <w:qFormat/>
    <w:uiPriority w:val="0"/>
    <w:rPr>
      <w:rFonts w:ascii="宋体" w:hAnsi="宋体" w:eastAsia="黑体" w:cs="Times New Roman"/>
      <w:b/>
      <w:bCs/>
      <w:kern w:val="0"/>
      <w:sz w:val="28"/>
      <w:szCs w:val="28"/>
    </w:rPr>
  </w:style>
  <w:style w:type="paragraph" w:customStyle="1" w:styleId="84">
    <w:name w:val="TEXT"/>
    <w:basedOn w:val="1"/>
    <w:qFormat/>
    <w:uiPriority w:val="0"/>
    <w:pPr>
      <w:widowControl/>
      <w:ind w:left="567"/>
    </w:pPr>
    <w:rPr>
      <w:rFonts w:ascii="Arial" w:hAnsi="Arial" w:eastAsia="宋体" w:cs="Times New Roman"/>
      <w:kern w:val="0"/>
      <w:sz w:val="22"/>
      <w:szCs w:val="20"/>
      <w:lang w:val="de-DE"/>
    </w:rPr>
  </w:style>
  <w:style w:type="paragraph" w:customStyle="1" w:styleId="85">
    <w:name w:val="body1"/>
    <w:basedOn w:val="1"/>
    <w:qFormat/>
    <w:uiPriority w:val="0"/>
    <w:pPr>
      <w:numPr>
        <w:ilvl w:val="0"/>
        <w:numId w:val="6"/>
      </w:numPr>
    </w:pPr>
    <w:rPr>
      <w:rFonts w:ascii="Times New Roman" w:hAnsi="Times New Roman" w:eastAsia="楷体_GB2312" w:cs="Times New Roman"/>
      <w:sz w:val="32"/>
      <w:szCs w:val="20"/>
    </w:rPr>
  </w:style>
  <w:style w:type="character" w:customStyle="1" w:styleId="86">
    <w:name w:val="批注主题 字符"/>
    <w:basedOn w:val="75"/>
    <w:link w:val="36"/>
    <w:qFormat/>
    <w:uiPriority w:val="99"/>
    <w:rPr>
      <w:rFonts w:ascii="Calibri" w:hAnsi="Calibri" w:eastAsia="宋体" w:cs="Times New Roman"/>
      <w:b/>
      <w:bCs/>
      <w:lang w:eastAsia="en-US"/>
    </w:rPr>
  </w:style>
  <w:style w:type="character" w:customStyle="1" w:styleId="87">
    <w:name w:val="批注文字 字符"/>
    <w:link w:val="14"/>
    <w:semiHidden/>
    <w:qFormat/>
    <w:uiPriority w:val="99"/>
    <w:rPr>
      <w:rFonts w:ascii="Calibri" w:hAnsi="Calibri" w:eastAsia="宋体" w:cs="Times New Roman"/>
      <w:kern w:val="0"/>
      <w:sz w:val="22"/>
      <w:lang w:eastAsia="en-US"/>
    </w:rPr>
  </w:style>
  <w:style w:type="character" w:customStyle="1" w:styleId="88">
    <w:name w:val="副标题 字符"/>
    <w:basedOn w:val="39"/>
    <w:link w:val="29"/>
    <w:qFormat/>
    <w:uiPriority w:val="0"/>
    <w:rPr>
      <w:rFonts w:ascii="Cambria" w:hAnsi="Cambria" w:eastAsia="宋体" w:cs="Times New Roman"/>
      <w:b/>
      <w:bCs/>
      <w:kern w:val="28"/>
      <w:sz w:val="32"/>
      <w:szCs w:val="32"/>
    </w:rPr>
  </w:style>
  <w:style w:type="character" w:customStyle="1" w:styleId="89">
    <w:name w:val="文档结构图 字符"/>
    <w:basedOn w:val="39"/>
    <w:link w:val="13"/>
    <w:semiHidden/>
    <w:qFormat/>
    <w:uiPriority w:val="99"/>
    <w:rPr>
      <w:rFonts w:ascii="宋体" w:hAnsi="Calibri" w:eastAsia="宋体" w:cs="Times New Roman"/>
      <w:sz w:val="18"/>
      <w:szCs w:val="18"/>
    </w:rPr>
  </w:style>
  <w:style w:type="paragraph" w:customStyle="1" w:styleId="9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64"/>
    <customShpInfo spid="_x0000_s206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492FC2-EEE6-4248-9D86-3203FB8A704D}">
  <ds:schemaRefs/>
</ds:datastoreItem>
</file>

<file path=docProps/app.xml><?xml version="1.0" encoding="utf-8"?>
<Properties xmlns="http://schemas.openxmlformats.org/officeDocument/2006/extended-properties" xmlns:vt="http://schemas.openxmlformats.org/officeDocument/2006/docPropsVTypes">
  <Template>Normal</Template>
  <Pages>14</Pages>
  <Words>5503</Words>
  <Characters>5902</Characters>
  <Lines>59</Lines>
  <Paragraphs>16</Paragraphs>
  <TotalTime>273</TotalTime>
  <ScaleCrop>false</ScaleCrop>
  <LinksUpToDate>false</LinksUpToDate>
  <CharactersWithSpaces>5978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2020-07-21T07:59:00Z</dcterms:created>
  <dc:creator>Windows 用户</dc:creator>
  <cp:lastModifiedBy>10034</cp:lastModifiedBy>
  <dcterms:modified xsi:type="dcterms:W3CDTF">2023-04-29T02:34:16Z</dcterms:modified>
  <cp:revision>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EDFBA914858240BC9618502F770AFEBC</vt:lpwstr>
  </property>
</Properties>
</file>