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宋体" w:hAnsi="Calibri" w:eastAsia="宋体" w:cs="Times New Roman"/>
          <w:color w:val="000000"/>
          <w:sz w:val="30"/>
          <w:szCs w:val="30"/>
        </w:rPr>
      </w:pPr>
      <w:bookmarkStart w:id="0" w:name="OLE_LINK31"/>
      <w:bookmarkStart w:id="1" w:name="OLE_LINK30"/>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 xml:space="preserve">氨分析仪招标项目 </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rPr>
      </w:pPr>
    </w:p>
    <w:p>
      <w:pPr>
        <w:wordWrap w:val="0"/>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wordWrap/>
        <w:outlineLvl w:val="9"/>
        <w:rPr>
          <w:rFonts w:hint="eastAsia" w:ascii="Calibri" w:hAnsi="Calibri" w:eastAsia="宋体" w:cs="Times New Roman"/>
          <w:color w:val="000000"/>
          <w:sz w:val="28"/>
          <w:szCs w:val="28"/>
          <w:lang w:val="en-US" w:eastAsia="zh-CN"/>
        </w:rPr>
      </w:pPr>
    </w:p>
    <w:p>
      <w:pPr>
        <w:rPr>
          <w:rFonts w:hint="default"/>
          <w:lang w:val="en-US"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投标须知前附表</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投标须知</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19</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22</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42</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77</w:t>
          </w:r>
        </w:p>
        <w:p>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sz w:val="24"/>
                <w:szCs w:val="24"/>
                <w:highlight w:val="none"/>
                <w:u w:val="single"/>
                <w:lang w:val="en-US" w:eastAsia="zh-CN"/>
              </w:rPr>
              <w:t>CGZX2023080184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氨分析仪设备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w:t>
            </w:r>
            <w:r>
              <w:rPr>
                <w:rFonts w:hint="eastAsia" w:ascii="宋体" w:hAnsi="宋体" w:eastAsia="宋体" w:cs="宋体"/>
                <w:sz w:val="24"/>
                <w:szCs w:val="24"/>
                <w:highlight w:val="none"/>
                <w:u w:val="single"/>
              </w:rPr>
              <w:t>区华奥路777号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高义</w:t>
            </w:r>
          </w:p>
          <w:p>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13626408657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val="0"/>
                <w:bCs/>
                <w:snapToGrid w:val="0"/>
                <w:kern w:val="0"/>
                <w:sz w:val="24"/>
                <w:szCs w:val="24"/>
                <w:highlight w:val="none"/>
                <w:lang w:val="en-US" w:eastAsia="zh-CN"/>
              </w:rPr>
              <w:t>wlwzgy</w:t>
            </w:r>
            <w:r>
              <w:rPr>
                <w:rFonts w:hint="eastAsia" w:ascii="宋体" w:hAnsi="宋体" w:eastAsia="宋体" w:cs="宋体"/>
                <w:bCs/>
                <w:snapToGrid w:val="0"/>
                <w:kern w:val="0"/>
                <w:sz w:val="24"/>
                <w:szCs w:val="24"/>
                <w:highlight w:val="none"/>
                <w:lang w:val="en-US" w:eastAsia="zh-CN"/>
              </w:rPr>
              <w:t>@163.com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或外币</w:t>
            </w:r>
            <w:r>
              <w:rPr>
                <w:rFonts w:hint="eastAsia" w:ascii="宋体" w:hAnsi="宋体" w:eastAsia="宋体" w:cs="Times New Roman"/>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sz w:val="24"/>
                <w:szCs w:val="24"/>
                <w:highlight w:val="none"/>
                <w:lang w:val="en-US" w:eastAsia="zh-CN"/>
              </w:rPr>
              <w:t>Ⅰ.</w:t>
            </w:r>
            <w:r>
              <w:rPr>
                <w:rFonts w:hint="eastAsia" w:ascii="宋体" w:hAnsi="宋体" w:eastAsia="宋体" w:cs="宋体"/>
                <w:b/>
                <w:bCs/>
                <w:sz w:val="24"/>
                <w:szCs w:val="24"/>
                <w:highlight w:val="none"/>
              </w:rPr>
              <w:t>对于中国境内投标人</w:t>
            </w:r>
            <w:r>
              <w:rPr>
                <w:rFonts w:hint="eastAsia" w:ascii="宋体" w:hAnsi="宋体" w:eastAsia="宋体" w:cs="宋体"/>
                <w:b/>
                <w:bCs/>
                <w:sz w:val="24"/>
                <w:szCs w:val="24"/>
                <w:highlight w:val="none"/>
                <w:lang w:eastAsia="zh-CN"/>
              </w:rPr>
              <w:t>，</w:t>
            </w:r>
            <w:r>
              <w:rPr>
                <w:rFonts w:hint="eastAsia" w:ascii="宋体" w:hAnsi="宋体" w:eastAsia="宋体" w:cs="宋体"/>
                <w:b/>
                <w:bCs/>
                <w:color w:val="auto"/>
                <w:sz w:val="24"/>
                <w:szCs w:val="24"/>
                <w:highlight w:val="none"/>
              </w:rPr>
              <w:t>投标条件</w:t>
            </w:r>
            <w:r>
              <w:rPr>
                <w:rFonts w:hint="eastAsia" w:ascii="宋体" w:hAnsi="宋体" w:eastAsia="宋体" w:cs="宋体"/>
                <w:b/>
                <w:bCs/>
                <w:sz w:val="24"/>
                <w:szCs w:val="24"/>
                <w:highlight w:val="none"/>
                <w:lang w:val="en-US" w:eastAsia="zh-CN"/>
              </w:rPr>
              <w:t>如下</w:t>
            </w:r>
            <w:r>
              <w:rPr>
                <w:rFonts w:hint="eastAsia" w:ascii="宋体" w:hAnsi="宋体" w:eastAsia="宋体" w:cs="宋体"/>
                <w:b/>
                <w:bCs/>
                <w:color w:val="auto"/>
                <w:sz w:val="24"/>
                <w:szCs w:val="24"/>
                <w:highlight w:val="none"/>
              </w:rPr>
              <w:t>：</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1.拟</w:t>
            </w:r>
            <w:r>
              <w:rPr>
                <w:rFonts w:hint="eastAsia" w:ascii="宋体" w:hAnsi="宋体" w:eastAsia="宋体" w:cs="宋体"/>
                <w:color w:val="000000"/>
                <w:sz w:val="24"/>
                <w:szCs w:val="24"/>
                <w:highlight w:val="none"/>
                <w:lang w:val="en-US" w:eastAsia="zh-CN"/>
              </w:rPr>
              <w:t>投</w:t>
            </w:r>
            <w:r>
              <w:rPr>
                <w:rFonts w:hint="eastAsia" w:ascii="宋体" w:hAnsi="宋体" w:eastAsia="宋体" w:cs="宋体"/>
                <w:color w:val="000000"/>
                <w:sz w:val="24"/>
                <w:szCs w:val="24"/>
                <w:highlight w:val="none"/>
              </w:rPr>
              <w:t>标人必须是在中华人民共和国境内注册的</w:t>
            </w:r>
            <w:r>
              <w:rPr>
                <w:rFonts w:hint="eastAsia" w:ascii="宋体" w:hAnsi="宋体" w:eastAsia="宋体" w:cs="宋体"/>
                <w:color w:val="000000"/>
                <w:sz w:val="24"/>
                <w:szCs w:val="24"/>
              </w:rPr>
              <w:t>独立法人机构，具有独立承担民事责任能力；注册资金</w:t>
            </w:r>
            <w:r>
              <w:rPr>
                <w:rFonts w:hint="eastAsia" w:ascii="宋体" w:hAnsi="宋体" w:eastAsia="宋体" w:cs="宋体"/>
                <w:color w:val="000000"/>
                <w:sz w:val="24"/>
                <w:szCs w:val="24"/>
                <w:highlight w:val="none"/>
              </w:rPr>
              <w:t>不少于</w:t>
            </w:r>
            <w:r>
              <w:rPr>
                <w:rFonts w:hint="eastAsia" w:ascii="宋体" w:hAnsi="宋体" w:eastAsia="宋体" w:cs="宋体"/>
                <w:b/>
                <w:bCs/>
                <w:color w:val="000000"/>
                <w:sz w:val="24"/>
                <w:szCs w:val="24"/>
                <w:highlight w:val="none"/>
                <w:u w:val="single"/>
                <w:lang w:val="en-US" w:eastAsia="zh-CN"/>
              </w:rPr>
              <w:t>500</w:t>
            </w:r>
            <w:r>
              <w:rPr>
                <w:rFonts w:hint="eastAsia" w:ascii="宋体" w:hAnsi="宋体" w:eastAsia="宋体" w:cs="宋体"/>
                <w:b/>
                <w:bCs/>
                <w:color w:val="000000"/>
                <w:sz w:val="24"/>
                <w:szCs w:val="24"/>
                <w:highlight w:val="none"/>
                <w:u w:val="single"/>
              </w:rPr>
              <w:t>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b/>
                <w:color w:val="000000"/>
                <w:sz w:val="24"/>
                <w:szCs w:val="24"/>
                <w:highlight w:val="none"/>
                <w:u w:val="single"/>
              </w:rPr>
              <w:t>三年以上</w:t>
            </w:r>
            <w:r>
              <w:rPr>
                <w:rFonts w:hint="eastAsia" w:ascii="宋体" w:hAnsi="宋体" w:eastAsia="宋体" w:cs="宋体"/>
                <w:color w:val="000000"/>
                <w:sz w:val="24"/>
                <w:szCs w:val="24"/>
                <w:highlight w:val="none"/>
              </w:rPr>
              <w:t>（以营业执照成立日期到开标当日满</w:t>
            </w:r>
            <w:r>
              <w:rPr>
                <w:rFonts w:hint="eastAsia" w:ascii="宋体" w:hAnsi="宋体" w:eastAsia="宋体" w:cs="宋体"/>
                <w:color w:val="000000"/>
                <w:sz w:val="24"/>
                <w:szCs w:val="24"/>
              </w:rPr>
              <w:t>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ascii="宋体" w:hAnsi="宋体" w:eastAsia="宋体" w:cs="宋体"/>
                <w:sz w:val="24"/>
                <w:szCs w:val="24"/>
                <w:highlight w:val="none"/>
              </w:rPr>
              <w:t>20</w:t>
            </w:r>
            <w:r>
              <w:rPr>
                <w:rFonts w:hint="eastAsia" w:hAnsi="宋体" w:eastAsia="宋体" w:cs="宋体"/>
                <w:sz w:val="24"/>
                <w:szCs w:val="24"/>
                <w:highlight w:val="none"/>
                <w:lang w:val="en-US" w:eastAsia="zh-CN"/>
              </w:rPr>
              <w:t>20</w:t>
            </w:r>
            <w:r>
              <w:rPr>
                <w:rFonts w:hint="eastAsia" w:ascii="宋体" w:hAnsi="宋体" w:eastAsia="宋体" w:cs="宋体"/>
                <w:sz w:val="24"/>
                <w:szCs w:val="24"/>
                <w:highlight w:val="none"/>
              </w:rPr>
              <w:t>年1月1日至今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16"/>
              <w:ind w:firstLine="480" w:firstLineChars="200"/>
              <w:rPr>
                <w:rFonts w:hint="eastAsia" w:ascii="宋体" w:hAnsi="宋体" w:eastAsia="宋体" w:cs="宋体"/>
                <w:kern w:val="0"/>
                <w:sz w:val="24"/>
                <w:szCs w:val="24"/>
                <w:lang w:bidi="ar"/>
              </w:rPr>
            </w:pPr>
            <w:r>
              <w:rPr>
                <w:rFonts w:hint="eastAsia" w:ascii="宋体" w:hAnsi="宋体" w:eastAsia="宋体" w:cs="宋体"/>
                <w:color w:val="000000"/>
                <w:kern w:val="0"/>
                <w:sz w:val="24"/>
                <w:szCs w:val="24"/>
              </w:rPr>
              <w:t>7.</w:t>
            </w:r>
            <w:r>
              <w:rPr>
                <w:rFonts w:hint="eastAsia" w:hAnsi="宋体" w:eastAsia="宋体" w:cs="宋体"/>
                <w:b/>
                <w:bCs/>
                <w:color w:val="000000"/>
                <w:kern w:val="0"/>
                <w:sz w:val="24"/>
                <w:szCs w:val="24"/>
              </w:rPr>
              <w:t>拟投标人有与本次招标设备</w:t>
            </w:r>
            <w:r>
              <w:rPr>
                <w:rFonts w:hint="eastAsia" w:hAnsi="宋体" w:eastAsia="宋体" w:cs="宋体"/>
                <w:b/>
                <w:bCs/>
                <w:color w:val="000000"/>
                <w:kern w:val="0"/>
                <w:sz w:val="24"/>
                <w:szCs w:val="24"/>
                <w:highlight w:val="yellow"/>
              </w:rPr>
              <w:t>（</w:t>
            </w:r>
            <w:r>
              <w:rPr>
                <w:rFonts w:hint="eastAsia" w:hAnsi="宋体" w:eastAsia="宋体" w:cs="宋体"/>
                <w:b/>
                <w:bCs/>
                <w:color w:val="000000"/>
                <w:kern w:val="0"/>
                <w:sz w:val="24"/>
                <w:szCs w:val="24"/>
                <w:highlight w:val="yellow"/>
                <w:lang w:val="en-US" w:eastAsia="zh-CN"/>
              </w:rPr>
              <w:t>氨分析仪</w:t>
            </w:r>
            <w:r>
              <w:rPr>
                <w:rFonts w:hint="eastAsia" w:hAnsi="宋体" w:eastAsia="宋体" w:cs="宋体"/>
                <w:b/>
                <w:bCs/>
                <w:color w:val="000000"/>
                <w:kern w:val="0"/>
                <w:sz w:val="24"/>
                <w:szCs w:val="24"/>
                <w:highlight w:val="yellow"/>
              </w:rPr>
              <w:t>）</w:t>
            </w:r>
            <w:r>
              <w:rPr>
                <w:rFonts w:hint="eastAsia" w:hAnsi="宋体" w:eastAsia="宋体" w:cs="宋体"/>
                <w:b/>
                <w:bCs/>
                <w:color w:val="000000"/>
                <w:kern w:val="0"/>
                <w:sz w:val="24"/>
                <w:szCs w:val="24"/>
              </w:rPr>
              <w:t>同类的项目经验，在中国境内有至少销售产品给</w:t>
            </w:r>
            <w:r>
              <w:rPr>
                <w:rFonts w:hint="eastAsia" w:hAnsi="宋体" w:eastAsia="宋体" w:cs="宋体"/>
                <w:b/>
                <w:bCs/>
                <w:color w:val="000000"/>
                <w:kern w:val="0"/>
                <w:sz w:val="24"/>
                <w:szCs w:val="24"/>
                <w:highlight w:val="yellow"/>
              </w:rPr>
              <w:t>商用车</w:t>
            </w:r>
            <w:r>
              <w:rPr>
                <w:rFonts w:hint="eastAsia" w:hAnsi="宋体" w:eastAsia="宋体" w:cs="宋体"/>
                <w:b/>
                <w:bCs/>
                <w:color w:val="000000"/>
                <w:kern w:val="0"/>
                <w:sz w:val="24"/>
                <w:szCs w:val="24"/>
                <w:highlight w:val="yellow"/>
                <w:lang w:val="en-US" w:eastAsia="zh-CN"/>
              </w:rPr>
              <w:t>/乘用车</w:t>
            </w:r>
            <w:r>
              <w:rPr>
                <w:rFonts w:hint="eastAsia" w:hAnsi="宋体" w:eastAsia="宋体" w:cs="宋体"/>
                <w:b/>
                <w:bCs/>
                <w:color w:val="000000"/>
                <w:kern w:val="0"/>
                <w:sz w:val="24"/>
                <w:szCs w:val="24"/>
                <w:highlight w:val="yellow"/>
              </w:rPr>
              <w:t>企业或汽车检测机构使用</w:t>
            </w:r>
            <w:r>
              <w:rPr>
                <w:rFonts w:hint="eastAsia" w:hAnsi="宋体" w:eastAsia="宋体" w:cs="宋体"/>
                <w:b/>
                <w:bCs/>
                <w:color w:val="000000"/>
                <w:kern w:val="0"/>
                <w:sz w:val="24"/>
                <w:szCs w:val="24"/>
              </w:rPr>
              <w:t>的案例；报名及投标时需提供近</w:t>
            </w:r>
            <w:r>
              <w:rPr>
                <w:rFonts w:hint="eastAsia" w:hAnsi="宋体" w:eastAsia="宋体" w:cs="宋体"/>
                <w:b/>
                <w:bCs/>
                <w:color w:val="000000"/>
                <w:kern w:val="0"/>
                <w:sz w:val="24"/>
                <w:szCs w:val="24"/>
                <w:lang w:val="en-US" w:eastAsia="zh-CN"/>
              </w:rPr>
              <w:t>三</w:t>
            </w:r>
            <w:r>
              <w:rPr>
                <w:rFonts w:hint="eastAsia" w:hAnsi="宋体" w:eastAsia="宋体" w:cs="宋体"/>
                <w:b/>
                <w:bCs/>
                <w:color w:val="000000"/>
                <w:kern w:val="0"/>
                <w:sz w:val="24"/>
                <w:szCs w:val="24"/>
              </w:rPr>
              <w:t>年用户清单，同时需提供用户合同复印件</w:t>
            </w:r>
            <w:r>
              <w:rPr>
                <w:rFonts w:hint="eastAsia" w:hAnsi="宋体" w:eastAsia="宋体" w:cs="宋体"/>
                <w:b/>
                <w:bCs/>
                <w:color w:val="000000"/>
                <w:kern w:val="0"/>
                <w:sz w:val="24"/>
                <w:szCs w:val="24"/>
                <w:lang w:eastAsia="zh-CN"/>
              </w:rPr>
              <w:t>，</w:t>
            </w:r>
            <w:r>
              <w:rPr>
                <w:rFonts w:hint="eastAsia" w:hAnsi="宋体" w:eastAsia="宋体" w:cs="宋体"/>
                <w:color w:val="000000"/>
                <w:sz w:val="24"/>
                <w:szCs w:val="24"/>
              </w:rPr>
              <w:t>且近3年内无因服务不当而造成重大事故</w:t>
            </w:r>
            <w:r>
              <w:rPr>
                <w:rFonts w:hint="eastAsia" w:ascii="宋体"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int="eastAsia" w:hAnsi="宋体" w:eastAsia="宋体" w:cs="宋体"/>
                <w:color w:val="000000"/>
                <w:sz w:val="24"/>
                <w:szCs w:val="24"/>
                <w:highlight w:val="yellow"/>
              </w:rPr>
              <w:t>拟投标人近三年内在经营活动中无与本项目有关的违法及重大违规情况</w:t>
            </w:r>
            <w:r>
              <w:rPr>
                <w:rFonts w:hint="eastAsia"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6"/>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r>
              <w:rPr>
                <w:rFonts w:hint="eastAsia" w:ascii="宋体" w:hAnsi="宋体" w:eastAsia="宋体" w:cs="宋体"/>
                <w:color w:val="000000"/>
                <w:sz w:val="24"/>
                <w:szCs w:val="24"/>
                <w:highlight w:val="none"/>
              </w:rPr>
              <w:t>。</w:t>
            </w:r>
          </w:p>
          <w:p>
            <w:pPr>
              <w:pStyle w:val="16"/>
              <w:ind w:firstLine="48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Ⅱ.</w:t>
            </w:r>
            <w:r>
              <w:rPr>
                <w:rFonts w:hint="eastAsia" w:ascii="宋体" w:hAnsi="宋体" w:eastAsia="宋体" w:cs="宋体"/>
                <w:b/>
                <w:color w:val="000000"/>
                <w:sz w:val="24"/>
                <w:szCs w:val="24"/>
                <w:highlight w:val="none"/>
              </w:rPr>
              <w:t>对于</w:t>
            </w:r>
            <w:r>
              <w:rPr>
                <w:rFonts w:hint="eastAsia" w:ascii="宋体" w:hAnsi="宋体" w:eastAsia="宋体" w:cs="宋体"/>
                <w:b/>
                <w:color w:val="000000"/>
                <w:sz w:val="24"/>
                <w:szCs w:val="24"/>
                <w:highlight w:val="none"/>
                <w:lang w:val="en-US" w:eastAsia="zh-CN"/>
              </w:rPr>
              <w:t>中国</w:t>
            </w:r>
            <w:r>
              <w:rPr>
                <w:rFonts w:hint="eastAsia" w:ascii="宋体" w:hAnsi="宋体" w:eastAsia="宋体" w:cs="宋体"/>
                <w:b/>
                <w:color w:val="000000"/>
                <w:sz w:val="24"/>
                <w:szCs w:val="24"/>
                <w:highlight w:val="none"/>
              </w:rPr>
              <w:t>境外投标人，投标条件如下：</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拟投标人的设立证明文件；</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拟投标人对授权代表出具的可参加中国境内投标并签署合同的授权书；</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请提供护照复印件，并准备原件以备现场核验；</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拟投标人20</w:t>
            </w:r>
            <w:r>
              <w:rPr>
                <w:rFonts w:hint="eastAsia"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年1月1日至今经第三方审计的公司财务报表（资产负债表、损益表、现金流量表）未显示异常。若没有财务审计报告，需提供资产负债表、利润表、现金流量表（加盖公章版）</w:t>
            </w:r>
            <w:r>
              <w:rPr>
                <w:rFonts w:hint="eastAsia" w:ascii="宋体" w:hAnsi="宋体" w:eastAsia="宋体" w:cs="宋体"/>
                <w:color w:val="000000"/>
                <w:sz w:val="24"/>
                <w:szCs w:val="24"/>
                <w:highlight w:val="none"/>
                <w:lang w:val="en-US" w:eastAsia="zh-CN"/>
              </w:rPr>
              <w:t>,且</w:t>
            </w:r>
            <w:r>
              <w:rPr>
                <w:rFonts w:hint="eastAsia" w:ascii="宋体" w:hAnsi="宋体" w:eastAsia="宋体" w:cs="宋体"/>
                <w:color w:val="000000"/>
                <w:sz w:val="24"/>
                <w:szCs w:val="24"/>
                <w:highlight w:val="none"/>
              </w:rPr>
              <w:t>未显示异常；</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hAnsi="宋体" w:eastAsia="宋体" w:cs="宋体"/>
                <w:b/>
                <w:bCs/>
                <w:color w:val="000000"/>
                <w:kern w:val="0"/>
                <w:sz w:val="24"/>
                <w:szCs w:val="24"/>
              </w:rPr>
              <w:t>拟投标人有与本次招标设备</w:t>
            </w:r>
            <w:r>
              <w:rPr>
                <w:rFonts w:hint="eastAsia" w:hAnsi="宋体" w:eastAsia="宋体" w:cs="宋体"/>
                <w:b/>
                <w:bCs/>
                <w:color w:val="000000"/>
                <w:kern w:val="0"/>
                <w:sz w:val="24"/>
                <w:szCs w:val="24"/>
                <w:highlight w:val="yellow"/>
              </w:rPr>
              <w:t>（</w:t>
            </w:r>
            <w:r>
              <w:rPr>
                <w:rFonts w:hint="eastAsia" w:hAnsi="宋体" w:eastAsia="宋体" w:cs="宋体"/>
                <w:b/>
                <w:bCs/>
                <w:color w:val="000000"/>
                <w:kern w:val="0"/>
                <w:sz w:val="24"/>
                <w:szCs w:val="24"/>
                <w:highlight w:val="yellow"/>
                <w:lang w:val="en-US" w:eastAsia="zh-CN"/>
              </w:rPr>
              <w:t>氨分析仪</w:t>
            </w:r>
            <w:r>
              <w:rPr>
                <w:rFonts w:hint="eastAsia" w:hAnsi="宋体" w:eastAsia="宋体" w:cs="宋体"/>
                <w:b/>
                <w:bCs/>
                <w:color w:val="000000"/>
                <w:kern w:val="0"/>
                <w:sz w:val="24"/>
                <w:szCs w:val="24"/>
                <w:highlight w:val="yellow"/>
              </w:rPr>
              <w:t>）</w:t>
            </w:r>
            <w:r>
              <w:rPr>
                <w:rFonts w:hint="eastAsia" w:hAnsi="宋体" w:eastAsia="宋体" w:cs="宋体"/>
                <w:b/>
                <w:bCs/>
                <w:color w:val="000000"/>
                <w:kern w:val="0"/>
                <w:sz w:val="24"/>
                <w:szCs w:val="24"/>
              </w:rPr>
              <w:t>同类的项目经验，在中国境内有至少销售产品给</w:t>
            </w:r>
            <w:r>
              <w:rPr>
                <w:rFonts w:hint="eastAsia" w:hAnsi="宋体" w:eastAsia="宋体" w:cs="宋体"/>
                <w:b/>
                <w:bCs/>
                <w:color w:val="000000"/>
                <w:kern w:val="0"/>
                <w:sz w:val="24"/>
                <w:szCs w:val="24"/>
                <w:highlight w:val="yellow"/>
              </w:rPr>
              <w:t>商用车</w:t>
            </w:r>
            <w:r>
              <w:rPr>
                <w:rFonts w:hint="eastAsia" w:hAnsi="宋体" w:eastAsia="宋体" w:cs="宋体"/>
                <w:b/>
                <w:bCs/>
                <w:color w:val="000000"/>
                <w:kern w:val="0"/>
                <w:sz w:val="24"/>
                <w:szCs w:val="24"/>
                <w:highlight w:val="yellow"/>
                <w:lang w:val="en-US" w:eastAsia="zh-CN"/>
              </w:rPr>
              <w:t>/乘用车</w:t>
            </w:r>
            <w:r>
              <w:rPr>
                <w:rFonts w:hint="eastAsia" w:hAnsi="宋体" w:eastAsia="宋体" w:cs="宋体"/>
                <w:b/>
                <w:bCs/>
                <w:color w:val="000000"/>
                <w:kern w:val="0"/>
                <w:sz w:val="24"/>
                <w:szCs w:val="24"/>
                <w:highlight w:val="yellow"/>
              </w:rPr>
              <w:t>企业或汽车检测机构使用</w:t>
            </w:r>
            <w:r>
              <w:rPr>
                <w:rFonts w:hint="eastAsia" w:hAnsi="宋体" w:eastAsia="宋体" w:cs="宋体"/>
                <w:b/>
                <w:bCs/>
                <w:color w:val="000000"/>
                <w:kern w:val="0"/>
                <w:sz w:val="24"/>
                <w:szCs w:val="24"/>
              </w:rPr>
              <w:t>的案例；报名及投标时需提供近</w:t>
            </w:r>
            <w:r>
              <w:rPr>
                <w:rFonts w:hint="eastAsia" w:hAnsi="宋体" w:eastAsia="宋体" w:cs="宋体"/>
                <w:b/>
                <w:bCs/>
                <w:color w:val="000000"/>
                <w:kern w:val="0"/>
                <w:sz w:val="24"/>
                <w:szCs w:val="24"/>
                <w:lang w:val="en-US" w:eastAsia="zh-CN"/>
              </w:rPr>
              <w:t>三</w:t>
            </w:r>
            <w:r>
              <w:rPr>
                <w:rFonts w:hint="eastAsia" w:hAnsi="宋体" w:eastAsia="宋体" w:cs="宋体"/>
                <w:b/>
                <w:bCs/>
                <w:color w:val="000000"/>
                <w:kern w:val="0"/>
                <w:sz w:val="24"/>
                <w:szCs w:val="24"/>
              </w:rPr>
              <w:t>年用户清单，同时需提供用户合同复印件</w:t>
            </w:r>
            <w:r>
              <w:rPr>
                <w:rFonts w:hint="eastAsia" w:hAnsi="宋体" w:eastAsia="宋体" w:cs="宋体"/>
                <w:b/>
                <w:bCs/>
                <w:color w:val="000000"/>
                <w:kern w:val="0"/>
                <w:sz w:val="24"/>
                <w:szCs w:val="24"/>
                <w:lang w:eastAsia="zh-CN"/>
              </w:rPr>
              <w:t>，</w:t>
            </w:r>
            <w:r>
              <w:rPr>
                <w:rFonts w:hint="eastAsia" w:hAnsi="宋体" w:eastAsia="宋体" w:cs="宋体"/>
                <w:color w:val="000000"/>
                <w:sz w:val="24"/>
                <w:szCs w:val="24"/>
              </w:rPr>
              <w:t>且近3年内无因服务不当而造成重大事故</w:t>
            </w:r>
            <w:r>
              <w:rPr>
                <w:rFonts w:hint="eastAsia" w:ascii="宋体" w:hAnsi="宋体" w:eastAsia="宋体" w:cs="宋体"/>
                <w:color w:val="000000"/>
                <w:sz w:val="24"/>
                <w:szCs w:val="24"/>
                <w:highlight w:val="none"/>
              </w:rPr>
              <w:t>。</w:t>
            </w:r>
          </w:p>
          <w:p>
            <w:pPr>
              <w:pStyle w:val="16"/>
              <w:ind w:firstLine="480" w:firstLineChars="200"/>
              <w:rPr>
                <w:rFonts w:hint="default" w:ascii="宋体"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6.</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6"/>
              <w:ind w:firstLine="480" w:firstLineChars="2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注：</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b w:val="0"/>
                <w:color w:val="000000"/>
                <w:sz w:val="24"/>
                <w:szCs w:val="24"/>
                <w:lang w:val="en-US" w:eastAsia="zh-CN"/>
              </w:rPr>
              <w:t>a)</w:t>
            </w:r>
            <w:r>
              <w:rPr>
                <w:rFonts w:hint="eastAsia" w:ascii="宋体" w:hAnsi="宋体" w:eastAsia="宋体" w:cs="宋体"/>
                <w:b w:val="0"/>
                <w:color w:val="000000"/>
                <w:sz w:val="24"/>
                <w:szCs w:val="24"/>
              </w:rPr>
              <w:t>如果是授权委托人投标，</w:t>
            </w:r>
            <w:r>
              <w:rPr>
                <w:rFonts w:hint="eastAsia" w:ascii="宋体" w:hAnsi="宋体" w:eastAsia="宋体" w:cs="宋体"/>
                <w:color w:val="000000"/>
                <w:sz w:val="24"/>
                <w:szCs w:val="24"/>
              </w:rPr>
              <w:t>要携带营业执照副本原件和复印件、法人授权委托书、身份证原件参加开标会议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b w:val="0"/>
                <w:color w:val="000000"/>
                <w:sz w:val="24"/>
                <w:szCs w:val="24"/>
                <w:lang w:val="en-US" w:eastAsia="zh-CN"/>
              </w:rPr>
              <w:t>b)</w:t>
            </w:r>
            <w:r>
              <w:rPr>
                <w:rFonts w:hint="eastAsia" w:ascii="宋体" w:hAnsi="宋体" w:eastAsia="宋体" w:cs="宋体"/>
                <w:b w:val="0"/>
                <w:color w:val="000000"/>
                <w:sz w:val="24"/>
                <w:szCs w:val="24"/>
              </w:rPr>
              <w:t>如果是法人参加投标</w:t>
            </w:r>
            <w:r>
              <w:rPr>
                <w:rFonts w:hint="eastAsia" w:ascii="宋体" w:hAnsi="宋体" w:eastAsia="宋体" w:cs="宋体"/>
                <w:color w:val="000000"/>
                <w:sz w:val="24"/>
                <w:szCs w:val="24"/>
              </w:rPr>
              <w:t>，要携带要携带营业执照副本原件和复印件、法人代表证明原件、身份证原件参加开标会议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p>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b w:val="0"/>
                <w:color w:val="000000"/>
                <w:sz w:val="24"/>
                <w:szCs w:val="24"/>
                <w:lang w:val="en-US" w:eastAsia="zh-CN"/>
              </w:rPr>
              <w:t>c)</w:t>
            </w:r>
            <w:r>
              <w:rPr>
                <w:rFonts w:hint="eastAsia" w:ascii="宋体" w:hAnsi="宋体" w:eastAsia="宋体" w:cs="宋体"/>
                <w:b w:val="0"/>
                <w:color w:val="000000"/>
                <w:sz w:val="24"/>
                <w:szCs w:val="24"/>
              </w:rPr>
              <w:t>如果是代理商投标</w:t>
            </w:r>
            <w:r>
              <w:rPr>
                <w:rFonts w:hint="eastAsia" w:ascii="宋体" w:hAnsi="宋体" w:eastAsia="宋体" w:cs="宋体"/>
                <w:color w:val="000000"/>
                <w:sz w:val="24"/>
                <w:szCs w:val="24"/>
              </w:rPr>
              <w:t>，除上述a)b)中要求的资料，</w:t>
            </w:r>
            <w:r>
              <w:rPr>
                <w:rFonts w:hint="eastAsia" w:ascii="宋体" w:hAnsi="宋体" w:eastAsia="宋体" w:cs="宋体"/>
                <w:color w:val="000000"/>
                <w:sz w:val="24"/>
                <w:szCs w:val="24"/>
                <w:lang w:val="en-US" w:eastAsia="zh-CN"/>
              </w:rPr>
              <w:t>需</w:t>
            </w:r>
            <w:r>
              <w:rPr>
                <w:rFonts w:hint="eastAsia" w:ascii="宋体" w:hAnsi="宋体" w:eastAsia="宋体" w:cs="宋体"/>
                <w:color w:val="000000"/>
                <w:sz w:val="24"/>
                <w:szCs w:val="24"/>
              </w:rPr>
              <w:t>另外携带生产商的授权书、原厂售后服务承诺书参加开标会议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bookmarkStart w:id="3" w:name="_Toc346372875"/>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21</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pPr>
            <w:r>
              <w:rPr>
                <w:rFonts w:hint="eastAsia" w:ascii="宋体" w:hAnsi="宋体" w:eastAsia="宋体" w:cs="宋体"/>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w:t>
            </w:r>
            <w:r>
              <w:rPr>
                <w:rFonts w:hint="eastAsia" w:ascii="宋体" w:hAnsi="宋体" w:eastAsia="宋体" w:cs="宋体"/>
                <w:b/>
                <w:bCs/>
                <w:sz w:val="24"/>
                <w:szCs w:val="24"/>
                <w:highlight w:val="none"/>
                <w:lang w:val="en-US" w:eastAsia="zh-CN"/>
              </w:rPr>
              <w:t>截止</w:t>
            </w:r>
            <w:r>
              <w:rPr>
                <w:rFonts w:hint="eastAsia" w:ascii="宋体" w:hAnsi="宋体" w:eastAsia="宋体" w:cs="宋体"/>
                <w:b/>
                <w:bCs/>
                <w:sz w:val="24"/>
                <w:szCs w:val="24"/>
                <w:highlight w:val="none"/>
              </w:rPr>
              <w:t>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green"/>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u w:val="single"/>
                <w:lang w:val="en-US" w:eastAsia="zh-CN"/>
              </w:rPr>
              <w:t>9</w:t>
            </w:r>
            <w:r>
              <w:rPr>
                <w:rFonts w:hint="eastAsia" w:eastAsia="宋体" w:cs="宋体"/>
                <w:highlight w:val="yellow"/>
              </w:rPr>
              <w:t>月</w:t>
            </w:r>
            <w:r>
              <w:rPr>
                <w:rFonts w:hint="eastAsia" w:eastAsia="宋体" w:cs="宋体"/>
                <w:highlight w:val="yellow"/>
                <w:u w:val="single"/>
                <w:lang w:val="en-US" w:eastAsia="zh-CN"/>
              </w:rPr>
              <w:t>2</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rPr>
              <w:t>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5"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default"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两</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正本一份，副本一份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r>
              <w:rPr>
                <w:rFonts w:hint="eastAsia" w:eastAsia="宋体" w:cs="宋体"/>
                <w:b w:val="0"/>
                <w:bCs/>
                <w:color w:val="auto"/>
                <w:kern w:val="2"/>
                <w:sz w:val="24"/>
                <w:szCs w:val="24"/>
                <w:highlight w:val="yellow"/>
                <w:lang w:val="en-US" w:eastAsia="zh-CN" w:bidi="ar-SA"/>
              </w:rPr>
              <w:t>开标一览表需单独</w:t>
            </w:r>
            <w:r>
              <w:rPr>
                <w:rFonts w:hint="eastAsia" w:eastAsia="宋体" w:cs="宋体"/>
                <w:b/>
                <w:bCs w:val="0"/>
                <w:color w:val="auto"/>
                <w:kern w:val="2"/>
                <w:sz w:val="24"/>
                <w:szCs w:val="24"/>
                <w:highlight w:val="yellow"/>
                <w:lang w:val="en-US" w:eastAsia="zh-CN" w:bidi="ar-SA"/>
              </w:rPr>
              <w:t>封装一份</w:t>
            </w:r>
            <w:r>
              <w:rPr>
                <w:rFonts w:hint="eastAsia" w:eastAsia="宋体" w:cs="宋体"/>
                <w:b w:val="0"/>
                <w:bCs/>
                <w:color w:val="auto"/>
                <w:kern w:val="2"/>
                <w:sz w:val="24"/>
                <w:szCs w:val="24"/>
                <w:highlight w:val="yellow"/>
                <w:lang w:val="en-US" w:eastAsia="zh-CN" w:bidi="ar-SA"/>
              </w:rPr>
              <w:t>，以便于唱标</w:t>
            </w:r>
            <w:r>
              <w:rPr>
                <w:rFonts w:hint="eastAsia" w:eastAsia="宋体" w:cs="宋体"/>
                <w:b w:val="0"/>
                <w:bCs/>
                <w:color w:val="auto"/>
                <w:kern w:val="2"/>
                <w:sz w:val="24"/>
                <w:szCs w:val="24"/>
                <w:highlight w:val="none"/>
                <w:lang w:val="en-US" w:eastAsia="zh-CN" w:bidi="ar-SA"/>
              </w:rPr>
              <w:t>。</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6"/>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山东省济南市历城区华奥路777号</w:t>
            </w:r>
          </w:p>
          <w:p>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highlight w:val="none"/>
              </w:rPr>
              <w:t>联系人及联系方式：</w:t>
            </w:r>
            <w:r>
              <w:rPr>
                <w:rFonts w:hint="eastAsia" w:hAnsi="宋体" w:eastAsia="宋体" w:cs="Times New Roman"/>
                <w:color w:val="000000"/>
                <w:sz w:val="24"/>
                <w:szCs w:val="24"/>
                <w:highlight w:val="yellow"/>
                <w:lang w:val="en-US" w:eastAsia="zh-CN"/>
              </w:rPr>
              <w:t>孔明伟</w:t>
            </w:r>
            <w:r>
              <w:rPr>
                <w:rFonts w:hint="eastAsia" w:ascii="宋体" w:hAnsi="宋体" w:eastAsia="宋体" w:cs="Times New Roman"/>
                <w:color w:val="000000"/>
                <w:sz w:val="24"/>
                <w:szCs w:val="24"/>
                <w:highlight w:val="yellow"/>
              </w:rPr>
              <w:t>/</w:t>
            </w:r>
            <w:r>
              <w:rPr>
                <w:rFonts w:hint="eastAsia" w:hAnsi="宋体" w:eastAsia="宋体" w:cs="Times New Roman"/>
                <w:color w:val="000000"/>
                <w:sz w:val="24"/>
                <w:szCs w:val="24"/>
                <w:highlight w:val="yellow"/>
              </w:rPr>
              <w:t>1786060</w:t>
            </w:r>
            <w:r>
              <w:rPr>
                <w:rFonts w:hint="eastAsia" w:hAnsi="宋体" w:eastAsia="宋体" w:cs="Times New Roman"/>
                <w:color w:val="000000"/>
                <w:sz w:val="24"/>
                <w:szCs w:val="24"/>
                <w:highlight w:val="yellow"/>
                <w:lang w:val="en-US" w:eastAsia="zh-CN"/>
              </w:rPr>
              <w:t>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hint="eastAsia" w:ascii="宋体" w:hAnsi="宋体" w:eastAsia="宋体" w:cs="Times New Roman"/>
                <w:color w:val="000000"/>
                <w:sz w:val="24"/>
                <w:szCs w:val="24"/>
                <w:highlight w:val="yellow"/>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6</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6"/>
              <w:ind w:firstLine="482" w:firstLineChars="200"/>
              <w:rPr>
                <w:rFonts w:hint="eastAsia" w:ascii="宋体" w:hAnsi="宋体" w:eastAsia="宋体" w:cs="宋体"/>
                <w:sz w:val="24"/>
                <w:szCs w:val="24"/>
                <w:highlight w:val="yellow"/>
                <w:lang w:val="en-US"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9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pPr>
              <w:pStyle w:val="34"/>
              <w:shd w:val="clear"/>
              <w:spacing w:after="0" w:line="240" w:lineRule="auto"/>
              <w:ind w:left="0" w:leftChars="0" w:firstLine="480"/>
              <w:rPr>
                <w:rFonts w:hint="default" w:ascii="宋体" w:hAnsi="宋体" w:cs="宋体"/>
                <w:sz w:val="24"/>
                <w:szCs w:val="24"/>
                <w:highlight w:val="none"/>
              </w:rPr>
            </w:pPr>
            <w:r>
              <w:rPr>
                <w:rFonts w:hint="eastAsia" w:ascii="宋体" w:hAnsi="宋体" w:cs="宋体"/>
                <w:sz w:val="24"/>
                <w:szCs w:val="24"/>
                <w:highlight w:val="none"/>
              </w:rPr>
              <w:t>投标保证金的金额：人民币</w:t>
            </w:r>
            <w:r>
              <w:rPr>
                <w:rFonts w:hint="eastAsia" w:ascii="宋体" w:hAnsi="宋体" w:cs="宋体"/>
                <w:sz w:val="24"/>
                <w:szCs w:val="24"/>
                <w:highlight w:val="none"/>
                <w:lang w:val="en-US" w:eastAsia="zh-CN"/>
              </w:rPr>
              <w:t>20000.00</w:t>
            </w:r>
            <w:r>
              <w:rPr>
                <w:rFonts w:hint="eastAsia" w:ascii="宋体" w:hAnsi="宋体" w:cs="宋体"/>
                <w:sz w:val="24"/>
                <w:szCs w:val="24"/>
                <w:highlight w:val="none"/>
              </w:rPr>
              <w:t>元</w:t>
            </w:r>
          </w:p>
          <w:p>
            <w:pPr>
              <w:pStyle w:val="34"/>
              <w:shd w:val="clear"/>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开户名称：</w:t>
            </w:r>
            <w:r>
              <w:rPr>
                <w:rFonts w:ascii="宋体" w:hAnsi="宋体" w:eastAsia="宋体" w:cs="宋体"/>
                <w:sz w:val="24"/>
                <w:szCs w:val="24"/>
                <w:highlight w:val="none"/>
              </w:rPr>
              <w:t>中国重汽集团济南动力有限公司</w:t>
            </w:r>
          </w:p>
          <w:p>
            <w:pPr>
              <w:pStyle w:val="34"/>
              <w:shd w:val="clear"/>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开户银行：</w:t>
            </w:r>
            <w:r>
              <w:rPr>
                <w:rFonts w:ascii="宋体" w:hAnsi="宋体" w:eastAsia="宋体" w:cs="宋体"/>
                <w:sz w:val="24"/>
                <w:szCs w:val="24"/>
                <w:highlight w:val="none"/>
              </w:rPr>
              <w:t>中国工商银行股份有限公司济南天桥支行</w:t>
            </w:r>
          </w:p>
          <w:p>
            <w:pPr>
              <w:pStyle w:val="34"/>
              <w:shd w:val="clear"/>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银行帐号：</w:t>
            </w:r>
            <w:r>
              <w:rPr>
                <w:rFonts w:ascii="宋体" w:hAnsi="宋体" w:eastAsia="宋体" w:cs="宋体"/>
                <w:sz w:val="24"/>
                <w:szCs w:val="24"/>
                <w:highlight w:val="none"/>
              </w:rPr>
              <w:t>1602005019200116248</w:t>
            </w:r>
          </w:p>
          <w:p>
            <w:pPr>
              <w:pStyle w:val="34"/>
              <w:shd w:val="clear"/>
              <w:spacing w:after="0" w:line="240" w:lineRule="auto"/>
              <w:ind w:left="0" w:leftChars="0" w:firstLine="480"/>
              <w:rPr>
                <w:rFonts w:ascii="宋体" w:hAnsi="宋体" w:eastAsia="宋体" w:cs="宋体"/>
                <w:sz w:val="24"/>
                <w:szCs w:val="24"/>
                <w:highlight w:val="none"/>
              </w:rPr>
            </w:pPr>
            <w:r>
              <w:rPr>
                <w:rFonts w:hint="eastAsia" w:ascii="宋体" w:hAnsi="宋体" w:cs="宋体"/>
                <w:sz w:val="24"/>
                <w:szCs w:val="24"/>
                <w:highlight w:val="none"/>
              </w:rPr>
              <w:t>开户行联号：</w:t>
            </w:r>
            <w:r>
              <w:rPr>
                <w:rFonts w:ascii="宋体" w:hAnsi="宋体" w:eastAsia="宋体" w:cs="宋体"/>
                <w:sz w:val="24"/>
                <w:szCs w:val="24"/>
                <w:highlight w:val="none"/>
              </w:rPr>
              <w:t>102451000504</w:t>
            </w:r>
          </w:p>
          <w:p>
            <w:pPr>
              <w:pStyle w:val="10"/>
              <w:shd w:val="clear"/>
              <w:ind w:firstLine="482" w:firstLineChars="200"/>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SA"/>
              </w:rPr>
              <w:t>SWIFT码：</w:t>
            </w:r>
            <w:r>
              <w:rPr>
                <w:rFonts w:ascii="宋体" w:hAnsi="宋体" w:eastAsia="宋体" w:cs="宋体"/>
                <w:sz w:val="24"/>
                <w:szCs w:val="24"/>
                <w:highlight w:val="none"/>
              </w:rPr>
              <w:t>ICBKCNBJSDG</w:t>
            </w:r>
          </w:p>
          <w:p>
            <w:pPr>
              <w:pStyle w:val="34"/>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pPr>
              <w:pStyle w:val="34"/>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Ⅳ.</w:t>
            </w:r>
            <w:r>
              <w:rPr>
                <w:rFonts w:hint="eastAsia" w:ascii="宋体" w:hAnsi="宋体" w:cs="宋体"/>
                <w:sz w:val="24"/>
                <w:szCs w:val="24"/>
                <w:highlight w:val="none"/>
              </w:rPr>
              <w:t>转账附言：公司名称+项目名称+投标保证金</w:t>
            </w:r>
            <w:r>
              <w:rPr>
                <w:rFonts w:hint="eastAsia" w:ascii="宋体" w:hAnsi="宋体" w:cs="宋体"/>
                <w:sz w:val="24"/>
                <w:szCs w:val="24"/>
                <w:highlight w:val="none"/>
                <w:lang w:eastAsia="zh-CN"/>
              </w:rPr>
              <w:t>（方便后期核对退款）。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cs="宋体"/>
                <w:b/>
                <w:bCs/>
                <w:sz w:val="24"/>
                <w:szCs w:val="24"/>
                <w:highlight w:val="none"/>
                <w:lang w:val="en-US" w:eastAsia="zh-CN"/>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pPr>
              <w:pStyle w:val="34"/>
              <w:spacing w:after="0" w:line="240" w:lineRule="auto"/>
              <w:ind w:left="0" w:leftChars="0" w:firstLine="480"/>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w:t>
            </w:r>
            <w:r>
              <w:rPr>
                <w:rFonts w:hint="eastAsia" w:ascii="宋体" w:hAnsi="宋体" w:cs="宋体"/>
                <w:sz w:val="24"/>
                <w:szCs w:val="24"/>
                <w:highlight w:val="none"/>
                <w:lang w:val="en-US" w:eastAsia="zh-CN"/>
              </w:rPr>
              <w:t>未</w:t>
            </w:r>
            <w:r>
              <w:rPr>
                <w:rFonts w:hint="eastAsia" w:ascii="宋体" w:hAnsi="宋体" w:cs="宋体"/>
                <w:sz w:val="24"/>
                <w:szCs w:val="24"/>
                <w:highlight w:val="none"/>
              </w:rPr>
              <w:t>中标的</w:t>
            </w: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，投标保证金将于招标人内部完成中标人评审并确认最终中标人后在30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rPr>
              <w:t>开标时间：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宋体"/>
                <w:sz w:val="24"/>
                <w:szCs w:val="24"/>
                <w:highlight w:val="none"/>
                <w:lang w:val="en-US" w:eastAsia="zh-CN"/>
              </w:rPr>
              <w:t>历城区</w:t>
            </w:r>
            <w:r>
              <w:rPr>
                <w:rFonts w:hint="eastAsia" w:ascii="宋体" w:hAnsi="宋体" w:eastAsia="宋体" w:cs="宋体"/>
                <w:sz w:val="24"/>
                <w:szCs w:val="24"/>
                <w:highlight w:val="none"/>
              </w:rPr>
              <w:t>华奥路777号重汽科技大厦</w:t>
            </w:r>
            <w:r>
              <w:rPr>
                <w:rFonts w:hint="eastAsia" w:ascii="宋体" w:hAnsi="宋体" w:eastAsia="宋体" w:cs="宋体"/>
                <w:sz w:val="24"/>
                <w:szCs w:val="24"/>
                <w:highlight w:val="none"/>
                <w:lang w:val="en-US" w:eastAsia="zh-CN"/>
              </w:rPr>
              <w:t>1311</w:t>
            </w:r>
            <w:r>
              <w:rPr>
                <w:rFonts w:hint="eastAsia" w:ascii="宋体" w:hAnsi="宋体" w:eastAsia="宋体" w:cs="宋体"/>
                <w:sz w:val="24"/>
                <w:szCs w:val="24"/>
                <w:highlight w:val="none"/>
              </w:rPr>
              <w:t>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highlight w:val="none"/>
                <w:shd w:val="clear" w:fill="FFFFFF" w:themeFill="background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240</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之内交货至供货地点。</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yellow"/>
                <w:lang w:val="en-US" w:eastAsia="zh-CN"/>
              </w:rPr>
              <w:t>50</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之内安装调试完毕。</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val="en-US" w:eastAsia="zh-CN"/>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yellow"/>
                <w:u w:val="single"/>
                <w:lang w:val="en-US" w:eastAsia="zh-CN"/>
              </w:rPr>
              <w:t>规定时间</w:t>
            </w:r>
            <w:r>
              <w:rPr>
                <w:rFonts w:hint="eastAsia" w:hAnsi="宋体" w:eastAsia="宋体" w:cs="宋体"/>
                <w:color w:val="000000"/>
                <w:sz w:val="24"/>
                <w:szCs w:val="24"/>
                <w:highlight w:val="none"/>
              </w:rPr>
              <w:t>的，</w:t>
            </w:r>
            <w:r>
              <w:rPr>
                <w:rFonts w:hint="eastAsia" w:hAnsi="宋体" w:eastAsia="宋体" w:cs="宋体"/>
                <w:color w:val="000000"/>
                <w:sz w:val="24"/>
                <w:szCs w:val="24"/>
              </w:rPr>
              <w:t>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hAnsi="宋体" w:eastAsia="宋体" w:cs="宋体"/>
                <w:b/>
                <w:bCs/>
                <w:color w:val="000000"/>
                <w:sz w:val="24"/>
                <w:szCs w:val="24"/>
                <w:highlight w:val="yellow"/>
                <w:lang w:val="en-US" w:eastAsia="zh-CN"/>
              </w:rPr>
            </w:pPr>
            <w:r>
              <w:rPr>
                <w:rFonts w:hint="eastAsia" w:hAnsi="宋体" w:eastAsia="宋体" w:cs="宋体"/>
                <w:b/>
                <w:bCs/>
                <w:color w:val="000000"/>
                <w:sz w:val="24"/>
                <w:szCs w:val="24"/>
                <w:lang w:val="en-US" w:eastAsia="zh-CN"/>
              </w:rPr>
              <w:t>进口货物到货方</w:t>
            </w:r>
            <w:r>
              <w:rPr>
                <w:rFonts w:hint="eastAsia" w:hAnsi="宋体" w:eastAsia="宋体" w:cs="宋体"/>
                <w:b/>
                <w:bCs/>
                <w:color w:val="000000"/>
                <w:sz w:val="24"/>
                <w:szCs w:val="24"/>
                <w:highlight w:val="none"/>
                <w:lang w:val="en-US" w:eastAsia="zh-CN"/>
              </w:rPr>
              <w:t>式：CIP济南或CIF青岛。</w:t>
            </w:r>
          </w:p>
          <w:p>
            <w:pPr>
              <w:pStyle w:val="16"/>
              <w:ind w:firstLine="482" w:firstLineChars="200"/>
              <w:rPr>
                <w:rFonts w:hint="eastAsia" w:hAnsi="宋体" w:eastAsia="宋体" w:cs="宋体"/>
                <w:b/>
                <w:bCs/>
                <w:color w:val="000000"/>
                <w:sz w:val="24"/>
                <w:szCs w:val="24"/>
                <w:highlight w:val="yellow"/>
                <w:lang w:val="en-US" w:eastAsia="zh-CN"/>
              </w:rPr>
            </w:pPr>
            <w:r>
              <w:rPr>
                <w:rFonts w:hint="eastAsia" w:hAnsi="宋体" w:eastAsia="宋体" w:cs="宋体"/>
                <w:b/>
                <w:bCs/>
                <w:color w:val="000000"/>
                <w:sz w:val="24"/>
                <w:szCs w:val="24"/>
                <w:highlight w:val="none"/>
                <w:lang w:val="en-US" w:eastAsia="zh-CN"/>
              </w:rPr>
              <w:t>国内货物交货地点：</w:t>
            </w:r>
            <w:r>
              <w:rPr>
                <w:rFonts w:hint="eastAsia" w:ascii="宋体" w:hAnsi="宋体" w:eastAsia="宋体" w:cs="宋体"/>
                <w:sz w:val="24"/>
                <w:szCs w:val="28"/>
              </w:rPr>
              <w:t>济南市高新区</w:t>
            </w:r>
            <w:r>
              <w:rPr>
                <w:rFonts w:ascii="宋体" w:hAnsi="宋体" w:eastAsia="宋体" w:cs="宋体"/>
                <w:sz w:val="24"/>
                <w:szCs w:val="28"/>
              </w:rPr>
              <w:t>华奥路</w:t>
            </w:r>
            <w:r>
              <w:rPr>
                <w:rFonts w:hint="eastAsia" w:ascii="宋体" w:hAnsi="宋体" w:eastAsia="宋体" w:cs="宋体"/>
                <w:sz w:val="24"/>
                <w:szCs w:val="28"/>
              </w:rPr>
              <w:t>777号</w:t>
            </w:r>
            <w:r>
              <w:rPr>
                <w:rFonts w:ascii="宋体" w:hAnsi="宋体" w:eastAsia="宋体" w:cs="宋体"/>
                <w:sz w:val="24"/>
                <w:szCs w:val="28"/>
              </w:rPr>
              <w:t>重汽科技园区</w:t>
            </w:r>
            <w:r>
              <w:rPr>
                <w:rFonts w:hint="eastAsia" w:ascii="宋体" w:hAnsi="宋体" w:eastAsia="宋体" w:cs="宋体"/>
                <w:sz w:val="24"/>
                <w:szCs w:val="28"/>
                <w:lang w:eastAsia="zh-CN"/>
              </w:rPr>
              <w:t>。</w:t>
            </w:r>
          </w:p>
          <w:p>
            <w:pPr>
              <w:pStyle w:val="16"/>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r>
              <w:rPr>
                <w:rFonts w:hint="eastAsia" w:hAnsi="宋体" w:eastAsia="宋体" w:cs="宋体"/>
                <w:color w:val="000000"/>
                <w:sz w:val="24"/>
                <w:szCs w:val="24"/>
                <w:lang w:eastAsia="zh-CN"/>
              </w:rPr>
              <w:t>。</w:t>
            </w:r>
          </w:p>
          <w:p>
            <w:pPr>
              <w:pStyle w:val="16"/>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宋体" w:hAnsi="宋体" w:eastAsia="宋体" w:cs="宋体"/>
                <w:sz w:val="24"/>
                <w:szCs w:val="28"/>
              </w:rPr>
              <w:t>济南市高新区</w:t>
            </w:r>
            <w:r>
              <w:rPr>
                <w:rFonts w:ascii="宋体" w:hAnsi="宋体" w:eastAsia="宋体" w:cs="宋体"/>
                <w:sz w:val="24"/>
                <w:szCs w:val="28"/>
              </w:rPr>
              <w:t>华奥路</w:t>
            </w:r>
            <w:r>
              <w:rPr>
                <w:rFonts w:hint="eastAsia" w:ascii="宋体" w:hAnsi="宋体" w:eastAsia="宋体" w:cs="宋体"/>
                <w:sz w:val="24"/>
                <w:szCs w:val="28"/>
              </w:rPr>
              <w:t>777号</w:t>
            </w:r>
            <w:r>
              <w:rPr>
                <w:rFonts w:ascii="宋体" w:hAnsi="宋体" w:eastAsia="宋体" w:cs="宋体"/>
                <w:sz w:val="24"/>
                <w:szCs w:val="28"/>
              </w:rPr>
              <w:t>重汽科技园区</w:t>
            </w:r>
            <w:r>
              <w:rPr>
                <w:rFonts w:hint="eastAsia" w:ascii="宋体" w:hAnsi="宋体" w:eastAsia="宋体" w:cs="宋体"/>
                <w:sz w:val="24"/>
                <w:szCs w:val="28"/>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w:t>
            </w:r>
            <w:r>
              <w:rPr>
                <w:rFonts w:hint="eastAsia" w:ascii="宋体" w:hAnsi="宋体" w:eastAsia="宋体" w:cs="宋体"/>
                <w:b/>
                <w:sz w:val="24"/>
                <w:szCs w:val="24"/>
                <w:lang w:val="en-US" w:eastAsia="zh-CN"/>
              </w:rPr>
              <w:t>终</w:t>
            </w:r>
            <w:r>
              <w:rPr>
                <w:rFonts w:hint="eastAsia" w:ascii="宋体" w:hAnsi="宋体" w:eastAsia="宋体" w:cs="宋体"/>
                <w:b/>
                <w:sz w:val="24"/>
                <w:szCs w:val="24"/>
              </w:rPr>
              <w:t>验收文件最终签署之日</w:t>
            </w:r>
            <w:r>
              <w:rPr>
                <w:rFonts w:hint="eastAsia" w:ascii="宋体" w:hAnsi="宋体" w:eastAsia="宋体" w:cs="宋体"/>
                <w:b/>
                <w:sz w:val="24"/>
                <w:szCs w:val="24"/>
                <w:highlight w:val="none"/>
              </w:rPr>
              <w:t>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highlight w:val="none"/>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4"/>
              <w:spacing w:after="0" w:line="240" w:lineRule="auto"/>
              <w:ind w:left="0" w:leftChars="0"/>
              <w:rPr>
                <w:rFonts w:hint="eastAsia" w:ascii="宋体" w:hAnsi="宋体" w:cs="宋体"/>
                <w:b w:val="0"/>
                <w:bCs w:val="0"/>
                <w:sz w:val="24"/>
                <w:szCs w:val="24"/>
                <w:highlight w:val="none"/>
                <w:u w:val="none"/>
              </w:rPr>
            </w:pPr>
            <w:r>
              <w:rPr>
                <w:rFonts w:hint="eastAsia" w:ascii="宋体" w:hAnsi="宋体" w:cs="宋体"/>
                <w:b/>
                <w:bCs/>
                <w:sz w:val="24"/>
                <w:szCs w:val="24"/>
                <w:highlight w:val="none"/>
                <w:u w:val="single"/>
                <w:lang w:val="en-US" w:eastAsia="zh-CN"/>
              </w:rPr>
              <w:t>Ⅰ.</w:t>
            </w:r>
            <w:r>
              <w:rPr>
                <w:rFonts w:hint="eastAsia" w:ascii="宋体" w:hAnsi="宋体" w:cs="宋体"/>
                <w:b/>
                <w:bCs/>
                <w:sz w:val="24"/>
                <w:szCs w:val="24"/>
                <w:highlight w:val="none"/>
                <w:u w:val="single"/>
              </w:rPr>
              <w:t>国际付款方式</w:t>
            </w:r>
            <w:r>
              <w:rPr>
                <w:rFonts w:hint="eastAsia" w:ascii="宋体" w:hAnsi="宋体" w:cs="宋体"/>
                <w:b/>
                <w:bCs/>
                <w:sz w:val="24"/>
                <w:szCs w:val="24"/>
                <w:highlight w:val="none"/>
                <w:u w:val="single"/>
                <w:lang w:eastAsia="zh-CN"/>
              </w:rPr>
              <w:t>：</w:t>
            </w:r>
            <w:r>
              <w:rPr>
                <w:rFonts w:hint="eastAsia" w:ascii="宋体" w:hAnsi="宋体" w:cs="宋体"/>
                <w:b/>
                <w:bCs/>
                <w:sz w:val="24"/>
                <w:szCs w:val="24"/>
                <w:highlight w:val="none"/>
                <w:u w:val="single"/>
              </w:rPr>
              <w:t>电汇</w:t>
            </w:r>
            <w:r>
              <w:rPr>
                <w:rFonts w:hint="eastAsia" w:ascii="宋体" w:hAnsi="宋体" w:cs="宋体"/>
                <w:b w:val="0"/>
                <w:bCs w:val="0"/>
                <w:sz w:val="24"/>
                <w:szCs w:val="24"/>
                <w:highlight w:val="none"/>
                <w:u w:val="none"/>
              </w:rPr>
              <w:t xml:space="preserve">  </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预付款</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a.</w:t>
            </w:r>
            <w:r>
              <w:rPr>
                <w:rFonts w:hint="eastAsia" w:ascii="宋体" w:hAnsi="宋体" w:cs="宋体"/>
                <w:sz w:val="24"/>
                <w:szCs w:val="24"/>
                <w:highlight w:val="none"/>
              </w:rPr>
              <w:t>买方在收到一份卖方出具以买方为受益人的无条件不可撤销银行预付款保函（合同总额的30%）后30天内，通过电汇方式将合同总额的30%（下称“预付款”）作为预付款支付给卖方，保函需要以SWIFT形式发给买方银行。</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cs="宋体"/>
                <w:sz w:val="24"/>
                <w:szCs w:val="24"/>
                <w:highlight w:val="none"/>
              </w:rPr>
              <w:t>银行保函草稿应由买方收到后5天内确认完毕，该银行保函须满足：（I）卖方应确保买方于合同签订后30天内收到银行保函，和(II)有效期截止装船日期之后的30天，若交货延期，卖方应相应延长保函的有效期。</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货款、终验收款</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a.</w:t>
            </w:r>
            <w:r>
              <w:rPr>
                <w:rFonts w:hint="eastAsia" w:ascii="宋体" w:hAnsi="宋体" w:cs="宋体"/>
                <w:sz w:val="24"/>
                <w:szCs w:val="24"/>
                <w:highlight w:val="none"/>
              </w:rPr>
              <w:t>买方应在发货前</w:t>
            </w:r>
            <w:r>
              <w:rPr>
                <w:rFonts w:hint="eastAsia" w:ascii="宋体" w:hAnsi="宋体" w:cs="宋体"/>
                <w:sz w:val="24"/>
                <w:szCs w:val="24"/>
                <w:highlight w:val="none"/>
                <w:u w:val="none"/>
              </w:rPr>
              <w:t>30</w:t>
            </w:r>
            <w:r>
              <w:rPr>
                <w:rFonts w:hint="eastAsia" w:ascii="宋体" w:hAnsi="宋体" w:cs="宋体"/>
                <w:sz w:val="24"/>
                <w:szCs w:val="24"/>
                <w:highlight w:val="none"/>
              </w:rPr>
              <w:t>个日历日前在中国境内的一家一流银行开立一个以卖方为受益人的不可撤销信用证，开证金额为合同全部金额的</w:t>
            </w:r>
            <w:r>
              <w:rPr>
                <w:rFonts w:hint="eastAsia" w:ascii="宋体" w:hAnsi="宋体" w:cs="宋体"/>
                <w:sz w:val="24"/>
                <w:szCs w:val="24"/>
                <w:highlight w:val="none"/>
                <w:u w:val="none"/>
              </w:rPr>
              <w:t>60%</w:t>
            </w:r>
            <w:r>
              <w:rPr>
                <w:rFonts w:hint="eastAsia" w:ascii="宋体" w:hAnsi="宋体" w:cs="宋体"/>
                <w:sz w:val="24"/>
                <w:szCs w:val="24"/>
                <w:highlight w:val="none"/>
              </w:rPr>
              <w:t>,信用证有效期为最终验收日期后</w:t>
            </w:r>
            <w:r>
              <w:rPr>
                <w:rFonts w:hint="eastAsia" w:ascii="宋体" w:hAnsi="宋体" w:cs="宋体"/>
                <w:sz w:val="24"/>
                <w:szCs w:val="24"/>
                <w:highlight w:val="none"/>
                <w:u w:val="none"/>
              </w:rPr>
              <w:t>21</w:t>
            </w:r>
            <w:r>
              <w:rPr>
                <w:rFonts w:hint="eastAsia" w:ascii="宋体" w:hAnsi="宋体" w:cs="宋体"/>
                <w:sz w:val="24"/>
                <w:szCs w:val="24"/>
                <w:highlight w:val="none"/>
              </w:rPr>
              <w:t>天。信用证草稿应在开证前</w:t>
            </w:r>
            <w:r>
              <w:rPr>
                <w:rFonts w:hint="eastAsia" w:ascii="宋体" w:hAnsi="宋体" w:cs="宋体"/>
                <w:sz w:val="24"/>
                <w:szCs w:val="24"/>
                <w:highlight w:val="none"/>
                <w:u w:val="none"/>
              </w:rPr>
              <w:t>7</w:t>
            </w:r>
            <w:r>
              <w:rPr>
                <w:rFonts w:hint="eastAsia" w:ascii="宋体" w:hAnsi="宋体" w:cs="宋体"/>
                <w:sz w:val="24"/>
                <w:szCs w:val="24"/>
                <w:highlight w:val="none"/>
              </w:rPr>
              <w:t>天发送给卖方。</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cs="宋体"/>
                <w:sz w:val="24"/>
                <w:szCs w:val="24"/>
                <w:highlight w:val="none"/>
              </w:rPr>
              <w:t>在卖方通过向开证行提交交货金额</w:t>
            </w:r>
            <w:r>
              <w:rPr>
                <w:rFonts w:hint="eastAsia" w:ascii="宋体" w:hAnsi="宋体" w:cs="宋体"/>
                <w:sz w:val="24"/>
                <w:szCs w:val="24"/>
                <w:highlight w:val="none"/>
                <w:u w:val="none"/>
              </w:rPr>
              <w:t>30%</w:t>
            </w:r>
            <w:r>
              <w:rPr>
                <w:rFonts w:hint="eastAsia" w:ascii="宋体" w:hAnsi="宋体" w:cs="宋体"/>
                <w:sz w:val="24"/>
                <w:szCs w:val="24"/>
                <w:highlight w:val="none"/>
              </w:rPr>
              <w:t>的即期汇票及装船单据后，买方应将交货金额的</w:t>
            </w:r>
            <w:r>
              <w:rPr>
                <w:rFonts w:hint="eastAsia" w:ascii="宋体" w:hAnsi="宋体" w:cs="宋体"/>
                <w:sz w:val="24"/>
                <w:szCs w:val="24"/>
                <w:highlight w:val="none"/>
                <w:u w:val="none"/>
              </w:rPr>
              <w:t>30%</w:t>
            </w:r>
            <w:r>
              <w:rPr>
                <w:rFonts w:hint="eastAsia" w:ascii="宋体" w:hAnsi="宋体" w:cs="宋体"/>
                <w:sz w:val="24"/>
                <w:szCs w:val="24"/>
                <w:highlight w:val="none"/>
              </w:rPr>
              <w:t>支付给卖方。</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c.</w:t>
            </w:r>
            <w:r>
              <w:rPr>
                <w:rFonts w:hint="eastAsia" w:ascii="宋体" w:hAnsi="宋体" w:cs="宋体"/>
                <w:sz w:val="24"/>
                <w:szCs w:val="24"/>
                <w:highlight w:val="none"/>
              </w:rPr>
              <w:t>设备全部到齐，经现场安装、调试、验收合格交付使用后，在卖方通过向开证行提交交货金额</w:t>
            </w:r>
            <w:r>
              <w:rPr>
                <w:rFonts w:hint="eastAsia" w:ascii="宋体" w:hAnsi="宋体" w:cs="宋体"/>
                <w:sz w:val="24"/>
                <w:szCs w:val="24"/>
                <w:highlight w:val="none"/>
                <w:u w:val="none"/>
              </w:rPr>
              <w:t>30%</w:t>
            </w:r>
            <w:r>
              <w:rPr>
                <w:rFonts w:hint="eastAsia" w:ascii="宋体" w:hAnsi="宋体" w:cs="宋体"/>
                <w:sz w:val="24"/>
                <w:szCs w:val="24"/>
                <w:highlight w:val="none"/>
              </w:rPr>
              <w:t>的即期汇票，买方支付合同总额的</w:t>
            </w:r>
            <w:r>
              <w:rPr>
                <w:rFonts w:hint="eastAsia" w:ascii="宋体" w:hAnsi="宋体" w:cs="宋体"/>
                <w:sz w:val="24"/>
                <w:szCs w:val="24"/>
                <w:highlight w:val="none"/>
                <w:u w:val="none"/>
              </w:rPr>
              <w:t>30%</w:t>
            </w:r>
            <w:r>
              <w:rPr>
                <w:rFonts w:hint="eastAsia" w:ascii="宋体" w:hAnsi="宋体" w:cs="宋体"/>
                <w:sz w:val="24"/>
                <w:szCs w:val="24"/>
                <w:highlight w:val="none"/>
              </w:rPr>
              <w:t>给卖方。</w:t>
            </w:r>
          </w:p>
          <w:p>
            <w:pPr>
              <w:pStyle w:val="34"/>
              <w:spacing w:after="0" w:line="240" w:lineRule="auto"/>
              <w:ind w:left="0" w:leftChars="0"/>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u w:val="single"/>
              </w:rPr>
              <w:t>质保金</w:t>
            </w:r>
          </w:p>
          <w:p>
            <w:pPr>
              <w:pStyle w:val="34"/>
              <w:spacing w:after="0" w:line="240" w:lineRule="auto"/>
              <w:ind w:left="0" w:leftChars="0"/>
              <w:rPr>
                <w:rFonts w:ascii="宋体" w:hAnsi="宋体" w:eastAsia="宋体" w:cs="宋体"/>
                <w:sz w:val="24"/>
                <w:szCs w:val="24"/>
                <w:highlight w:val="none"/>
              </w:rPr>
            </w:pPr>
            <w:r>
              <w:rPr>
                <w:rFonts w:ascii="宋体" w:hAnsi="宋体" w:eastAsia="宋体" w:cs="宋体"/>
                <w:sz w:val="24"/>
                <w:szCs w:val="24"/>
                <w:highlight w:val="none"/>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z w:val="24"/>
                <w:szCs w:val="24"/>
                <w:highlight w:val="none"/>
                <w:lang w:eastAsia="zh-TW"/>
              </w:rPr>
              <w:t>.</w:t>
            </w:r>
            <w:r>
              <w:rPr>
                <w:rFonts w:hint="eastAsia" w:ascii="宋体" w:hAnsi="宋体" w:cs="宋体"/>
                <w:sz w:val="24"/>
                <w:szCs w:val="24"/>
                <w:highlight w:val="none"/>
              </w:rPr>
              <w:t>买方银行及其代理行的银行费用、佣金等相关费用由买方承担。卖方银行及其代理行的费用、佣金等相关费用由卖方承担。</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rPr>
              <w:t>5</w:t>
            </w:r>
            <w:r>
              <w:rPr>
                <w:rFonts w:hint="eastAsia" w:ascii="宋体" w:hAnsi="宋体" w:cs="宋体"/>
                <w:sz w:val="24"/>
                <w:szCs w:val="24"/>
                <w:highlight w:val="none"/>
                <w:lang w:val="en-US" w:eastAsia="zh-CN"/>
              </w:rPr>
              <w:t>.</w:t>
            </w:r>
            <w:r>
              <w:rPr>
                <w:rFonts w:hint="eastAsia" w:ascii="宋体" w:hAnsi="宋体" w:cs="宋体"/>
                <w:sz w:val="24"/>
                <w:szCs w:val="24"/>
                <w:highlight w:val="none"/>
              </w:rPr>
              <w:t>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pPr>
              <w:pStyle w:val="34"/>
              <w:spacing w:after="0" w:line="240" w:lineRule="auto"/>
              <w:ind w:left="0" w:leftChars="0"/>
              <w:rPr>
                <w:rFonts w:hint="eastAsia" w:ascii="宋体" w:hAnsi="宋体" w:cs="宋体"/>
                <w:sz w:val="24"/>
                <w:szCs w:val="24"/>
                <w:highlight w:val="none"/>
                <w:u w:val="none"/>
              </w:rPr>
            </w:pPr>
            <w:r>
              <w:rPr>
                <w:rFonts w:hint="eastAsia" w:ascii="宋体" w:hAnsi="宋体" w:cs="宋体"/>
                <w:b/>
                <w:bCs/>
                <w:sz w:val="24"/>
                <w:szCs w:val="24"/>
                <w:highlight w:val="none"/>
                <w:u w:val="single"/>
                <w:lang w:val="en-US" w:eastAsia="zh-CN"/>
              </w:rPr>
              <w:t>Ⅱ.</w:t>
            </w:r>
            <w:r>
              <w:rPr>
                <w:rFonts w:hint="eastAsia" w:ascii="宋体" w:hAnsi="宋体" w:cs="宋体"/>
                <w:b/>
                <w:bCs/>
                <w:sz w:val="24"/>
                <w:szCs w:val="24"/>
                <w:highlight w:val="none"/>
                <w:u w:val="single"/>
              </w:rPr>
              <w:t>国内付款方式：半年期商业汇票（包括银行承兑汇票和商业承兑汇票）</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合同总金额的</w:t>
            </w:r>
            <w:r>
              <w:rPr>
                <w:rFonts w:hint="eastAsia" w:ascii="宋体" w:hAnsi="宋体" w:cs="宋体"/>
                <w:sz w:val="24"/>
                <w:szCs w:val="24"/>
                <w:highlight w:val="none"/>
                <w:u w:val="none"/>
                <w:lang w:val="en-US" w:eastAsia="zh-CN"/>
              </w:rPr>
              <w:t>15</w:t>
            </w:r>
            <w:r>
              <w:rPr>
                <w:rFonts w:hint="eastAsia" w:ascii="宋体" w:hAnsi="宋体" w:cs="宋体"/>
                <w:sz w:val="24"/>
                <w:szCs w:val="24"/>
                <w:highlight w:val="none"/>
                <w:u w:val="none"/>
              </w:rPr>
              <w:t>%</w:t>
            </w:r>
            <w:r>
              <w:rPr>
                <w:rFonts w:hint="eastAsia" w:ascii="宋体" w:hAnsi="宋体" w:cs="宋体"/>
                <w:sz w:val="24"/>
                <w:szCs w:val="24"/>
                <w:highlight w:val="none"/>
              </w:rPr>
              <w:t>作为预付款，在本合同生效后，卖方开具金额为该合同设备价格</w:t>
            </w:r>
            <w:r>
              <w:rPr>
                <w:rFonts w:hint="eastAsia" w:ascii="宋体" w:hAnsi="宋体" w:cs="宋体"/>
                <w:sz w:val="24"/>
                <w:szCs w:val="24"/>
                <w:highlight w:val="none"/>
                <w:u w:val="none"/>
              </w:rPr>
              <w:t>30%</w:t>
            </w:r>
            <w:r>
              <w:rPr>
                <w:rFonts w:hint="eastAsia" w:ascii="宋体" w:hAnsi="宋体" w:cs="宋体"/>
                <w:sz w:val="24"/>
                <w:szCs w:val="24"/>
                <w:highlight w:val="none"/>
              </w:rPr>
              <w:t>的增值税专用发票带</w:t>
            </w:r>
            <w:r>
              <w:rPr>
                <w:rFonts w:hint="eastAsia" w:ascii="宋体" w:hAnsi="宋体" w:cs="宋体"/>
                <w:sz w:val="24"/>
                <w:szCs w:val="24"/>
                <w:highlight w:val="none"/>
                <w:u w:val="none"/>
              </w:rPr>
              <w:t>30%</w:t>
            </w:r>
            <w:r>
              <w:rPr>
                <w:rFonts w:hint="eastAsia" w:ascii="宋体" w:hAnsi="宋体" w:cs="宋体"/>
                <w:sz w:val="24"/>
                <w:szCs w:val="24"/>
                <w:highlight w:val="none"/>
              </w:rPr>
              <w:t>的收据（含复印件二份），经买方依照财务制度审核无误后</w:t>
            </w:r>
            <w:r>
              <w:rPr>
                <w:rFonts w:hint="eastAsia" w:ascii="宋体" w:hAnsi="宋体" w:cs="宋体"/>
                <w:sz w:val="24"/>
                <w:szCs w:val="24"/>
                <w:highlight w:val="none"/>
                <w:u w:val="none"/>
              </w:rPr>
              <w:t>30</w:t>
            </w:r>
            <w:r>
              <w:rPr>
                <w:rFonts w:hint="eastAsia" w:ascii="宋体" w:hAnsi="宋体" w:cs="宋体"/>
                <w:sz w:val="24"/>
                <w:szCs w:val="24"/>
                <w:highlight w:val="none"/>
              </w:rPr>
              <w:t>个工作日内支付合同价款的</w:t>
            </w:r>
            <w:r>
              <w:rPr>
                <w:rFonts w:hint="eastAsia" w:ascii="宋体" w:hAnsi="宋体" w:cs="宋体"/>
                <w:b/>
                <w:bCs/>
                <w:sz w:val="24"/>
                <w:szCs w:val="24"/>
                <w:highlight w:val="none"/>
                <w:u w:val="none"/>
                <w:lang w:val="en-US" w:eastAsia="zh-CN"/>
              </w:rPr>
              <w:t>15</w:t>
            </w:r>
            <w:r>
              <w:rPr>
                <w:rFonts w:hint="eastAsia" w:ascii="宋体" w:hAnsi="宋体" w:cs="宋体"/>
                <w:b/>
                <w:bCs/>
                <w:sz w:val="24"/>
                <w:szCs w:val="24"/>
                <w:highlight w:val="none"/>
                <w:u w:val="none"/>
              </w:rPr>
              <w:t>%</w:t>
            </w:r>
            <w:r>
              <w:rPr>
                <w:rFonts w:hint="eastAsia" w:ascii="宋体" w:hAnsi="宋体" w:cs="宋体"/>
                <w:sz w:val="24"/>
                <w:szCs w:val="24"/>
                <w:highlight w:val="none"/>
              </w:rPr>
              <w:t>。</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rPr>
              <w:t>2.设备全部到齐，经现场安装、调试、验收合格交付使用后，卖方提交金额为合同价款</w:t>
            </w:r>
            <w:r>
              <w:rPr>
                <w:rFonts w:hint="eastAsia" w:ascii="宋体" w:hAnsi="宋体" w:cs="宋体"/>
                <w:sz w:val="24"/>
                <w:szCs w:val="24"/>
                <w:highlight w:val="none"/>
                <w:u w:val="none"/>
                <w:lang w:val="en-US" w:eastAsia="zh-CN"/>
              </w:rPr>
              <w:t>75</w:t>
            </w:r>
            <w:r>
              <w:rPr>
                <w:rFonts w:hint="eastAsia" w:ascii="宋体" w:hAnsi="宋体" w:cs="宋体"/>
                <w:sz w:val="24"/>
                <w:szCs w:val="24"/>
                <w:highlight w:val="none"/>
                <w:u w:val="none"/>
              </w:rPr>
              <w:t>%</w:t>
            </w:r>
            <w:r>
              <w:rPr>
                <w:rFonts w:hint="eastAsia" w:ascii="宋体" w:hAnsi="宋体" w:cs="宋体"/>
                <w:sz w:val="24"/>
                <w:szCs w:val="24"/>
                <w:highlight w:val="none"/>
              </w:rPr>
              <w:t>的收据并附带下列单据，经买方依照财务制度审核无误后30个工作日内支付合同价款的</w:t>
            </w:r>
            <w:r>
              <w:rPr>
                <w:rFonts w:hint="eastAsia" w:ascii="宋体" w:hAnsi="宋体" w:cs="宋体"/>
                <w:b/>
                <w:bCs/>
                <w:sz w:val="24"/>
                <w:szCs w:val="24"/>
                <w:highlight w:val="none"/>
                <w:u w:val="none"/>
                <w:lang w:val="en-US" w:eastAsia="zh-CN"/>
              </w:rPr>
              <w:t>75</w:t>
            </w:r>
            <w:r>
              <w:rPr>
                <w:rFonts w:hint="eastAsia" w:ascii="宋体" w:hAnsi="宋体" w:cs="宋体"/>
                <w:b/>
                <w:bCs/>
                <w:sz w:val="24"/>
                <w:szCs w:val="24"/>
                <w:highlight w:val="none"/>
                <w:u w:val="none"/>
              </w:rPr>
              <w:t>%</w:t>
            </w:r>
            <w:r>
              <w:rPr>
                <w:rFonts w:hint="eastAsia" w:ascii="宋体" w:hAnsi="宋体" w:cs="宋体"/>
                <w:sz w:val="24"/>
                <w:szCs w:val="24"/>
                <w:highlight w:val="none"/>
              </w:rPr>
              <w:t>。</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a.</w:t>
            </w:r>
            <w:r>
              <w:rPr>
                <w:rFonts w:hint="eastAsia" w:ascii="宋体" w:hAnsi="宋体" w:cs="宋体"/>
                <w:sz w:val="24"/>
                <w:szCs w:val="24"/>
                <w:highlight w:val="none"/>
              </w:rPr>
              <w:t>金额为该合同设备价格</w:t>
            </w:r>
            <w:r>
              <w:rPr>
                <w:rFonts w:hint="eastAsia" w:ascii="宋体" w:hAnsi="宋体" w:cs="宋体"/>
                <w:sz w:val="24"/>
                <w:szCs w:val="24"/>
                <w:highlight w:val="none"/>
                <w:u w:val="none"/>
                <w:lang w:val="en-US" w:eastAsia="zh-CN"/>
              </w:rPr>
              <w:t>85</w:t>
            </w:r>
            <w:r>
              <w:rPr>
                <w:rFonts w:hint="eastAsia" w:ascii="宋体" w:hAnsi="宋体" w:cs="宋体"/>
                <w:sz w:val="24"/>
                <w:szCs w:val="24"/>
                <w:highlight w:val="none"/>
                <w:u w:val="none"/>
              </w:rPr>
              <w:t>%</w:t>
            </w:r>
            <w:r>
              <w:rPr>
                <w:rFonts w:hint="eastAsia" w:ascii="宋体" w:hAnsi="宋体" w:cs="宋体"/>
                <w:sz w:val="24"/>
                <w:szCs w:val="24"/>
                <w:highlight w:val="none"/>
              </w:rPr>
              <w:t>的增值税专用发票（含复印件二份），具体开票信息详见发票信息表，根据表中所列分别开具增值税发票。</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cs="宋体"/>
                <w:sz w:val="24"/>
                <w:szCs w:val="24"/>
                <w:highlight w:val="none"/>
              </w:rPr>
              <w:t>该套设备最终验收报告的原件及其复印件两份。</w:t>
            </w:r>
          </w:p>
          <w:p>
            <w:pPr>
              <w:ind w:firstLine="480" w:firstLineChars="200"/>
            </w:pPr>
            <w:r>
              <w:rPr>
                <w:rFonts w:hint="eastAsia" w:ascii="宋体" w:hAnsi="宋体" w:eastAsia="宋体" w:cs="宋体"/>
                <w:kern w:val="2"/>
                <w:sz w:val="24"/>
                <w:szCs w:val="24"/>
                <w:highlight w:val="none"/>
                <w:lang w:val="en-US" w:eastAsia="zh-CN" w:bidi="ar-SA"/>
              </w:rPr>
              <w:t>3.合同总价款的</w:t>
            </w:r>
            <w:r>
              <w:rPr>
                <w:rFonts w:hint="eastAsia" w:ascii="宋体" w:hAnsi="宋体" w:eastAsia="宋体" w:cs="宋体"/>
                <w:b/>
                <w:bCs/>
                <w:kern w:val="2"/>
                <w:sz w:val="24"/>
                <w:szCs w:val="24"/>
                <w:highlight w:val="none"/>
                <w:lang w:val="en-US" w:eastAsia="zh-CN" w:bidi="ar-SA"/>
              </w:rPr>
              <w:t>10%</w:t>
            </w:r>
            <w:r>
              <w:rPr>
                <w:rFonts w:hint="eastAsia" w:ascii="宋体" w:hAnsi="宋体" w:eastAsia="宋体" w:cs="宋体"/>
                <w:kern w:val="2"/>
                <w:sz w:val="24"/>
                <w:szCs w:val="24"/>
                <w:highlight w:val="none"/>
                <w:lang w:val="en-US" w:eastAsia="zh-CN" w:bidi="ar-SA"/>
              </w:rPr>
              <w:t>作为本合同约定设备的质量保证金，质量保证金在质量保证期内不计利息。待每套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shd w:val="clear" w:fill="FFFFFF" w:themeFill="background1"/>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shd w:val="clear" w:fill="FFFFFF" w:themeFill="background1"/>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lang w:val="en-US" w:eastAsia="zh-CN"/>
              </w:rPr>
              <w:t>60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jc w:val="center"/>
        <w:outlineLvl w:val="9"/>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16"/>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投标保证金缴纳时，</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投标条件</w:t>
      </w:r>
    </w:p>
    <w:p>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val="en-US" w:eastAsia="zh-CN"/>
        </w:rPr>
        <w:t>或中国境外投标人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w:t>
      </w:r>
      <w:r>
        <w:rPr>
          <w:rFonts w:hint="eastAsia" w:ascii="宋体" w:hAnsi="宋体" w:eastAsia="宋体" w:cs="宋体"/>
          <w:sz w:val="24"/>
          <w:szCs w:val="24"/>
          <w:highlight w:val="none"/>
        </w:rPr>
        <w:t>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w:t>
      </w:r>
      <w:r>
        <w:rPr>
          <w:rFonts w:hint="eastAsia" w:ascii="宋体" w:hAnsi="宋体" w:eastAsia="宋体" w:cs="宋体"/>
          <w:color w:val="000000"/>
          <w:sz w:val="24"/>
          <w:szCs w:val="24"/>
        </w:rPr>
        <w:t>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2"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b/>
          <w:bCs/>
          <w:color w:val="000000"/>
          <w:sz w:val="24"/>
          <w:szCs w:val="24"/>
          <w:highlight w:val="none"/>
        </w:rPr>
        <w:t>3.2所有设备的报价货币单位为：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eastAsia="zh-CN"/>
        </w:rPr>
        <w:t>】</w:t>
      </w:r>
      <w:bookmarkStart w:id="6" w:name="_Toc4070"/>
    </w:p>
    <w:p>
      <w:pPr>
        <w:spacing w:line="360" w:lineRule="auto"/>
        <w:ind w:firstLine="480" w:firstLineChars="200"/>
        <w:rPr>
          <w:rFonts w:hint="eastAsia" w:ascii="宋体" w:hAnsi="宋体" w:eastAsia="宋体" w:cs="Times New Roman"/>
          <w:b w:val="0"/>
          <w:bCs w:val="0"/>
          <w:color w:val="000000"/>
          <w:sz w:val="24"/>
          <w:szCs w:val="24"/>
          <w:highlight w:val="none"/>
        </w:rPr>
      </w:pPr>
      <w:r>
        <w:rPr>
          <w:rFonts w:hint="eastAsia" w:ascii="宋体" w:hAnsi="宋体" w:eastAsia="宋体" w:cs="Times New Roman"/>
          <w:b w:val="0"/>
          <w:bCs w:val="0"/>
          <w:color w:val="000000"/>
          <w:sz w:val="24"/>
          <w:szCs w:val="24"/>
          <w:highlight w:val="none"/>
        </w:rPr>
        <w:t>总报价</w:t>
      </w:r>
      <w:r>
        <w:rPr>
          <w:rFonts w:hint="eastAsia" w:ascii="宋体" w:hAnsi="宋体" w:eastAsia="宋体" w:cs="Times New Roman"/>
          <w:b w:val="0"/>
          <w:bCs w:val="0"/>
          <w:color w:val="000000"/>
          <w:sz w:val="24"/>
          <w:szCs w:val="24"/>
          <w:highlight w:val="none"/>
          <w:lang w:eastAsia="zh-CN"/>
        </w:rPr>
        <w:t>包含</w:t>
      </w:r>
      <w:r>
        <w:rPr>
          <w:rFonts w:hint="eastAsia" w:ascii="宋体" w:hAnsi="宋体" w:eastAsia="宋体" w:cs="Times New Roman"/>
          <w:b w:val="0"/>
          <w:bCs w:val="0"/>
          <w:color w:val="000000"/>
          <w:sz w:val="24"/>
          <w:szCs w:val="24"/>
          <w:highlight w:val="none"/>
        </w:rPr>
        <w:t>进口货物报价与国内货物报价。</w:t>
      </w:r>
      <w:bookmarkEnd w:id="6"/>
    </w:p>
    <w:p>
      <w:pPr>
        <w:spacing w:line="360" w:lineRule="auto"/>
        <w:ind w:firstLine="482" w:firstLineChars="200"/>
        <w:rPr>
          <w:rFonts w:hint="eastAsia" w:ascii="宋体" w:hAnsi="宋体" w:eastAsia="宋体" w:cs="Times New Roman"/>
          <w:b/>
          <w:bCs/>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3.2.1在“中国重汽e采通平台”报价说明：因该平台仅支持填报人民币报价：</w:t>
      </w:r>
    </w:p>
    <w:p>
      <w:pPr>
        <w:spacing w:line="360" w:lineRule="auto"/>
        <w:ind w:firstLine="482" w:firstLineChars="200"/>
        <w:rPr>
          <w:rFonts w:hint="eastAsia"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lang w:val="en-US" w:eastAsia="zh-CN"/>
        </w:rPr>
        <w:t>A）对于全部为</w:t>
      </w:r>
      <w:r>
        <w:rPr>
          <w:rFonts w:hint="eastAsia" w:ascii="宋体" w:hAnsi="宋体" w:eastAsia="宋体" w:cs="Times New Roman"/>
          <w:b/>
          <w:bCs/>
          <w:color w:val="000000"/>
          <w:sz w:val="24"/>
          <w:szCs w:val="24"/>
          <w:highlight w:val="none"/>
        </w:rPr>
        <w:t>进口货物</w:t>
      </w:r>
      <w:r>
        <w:rPr>
          <w:rFonts w:hint="eastAsia" w:ascii="宋体" w:hAnsi="宋体" w:eastAsia="宋体" w:cs="Times New Roman"/>
          <w:b/>
          <w:bCs/>
          <w:color w:val="000000"/>
          <w:sz w:val="24"/>
          <w:szCs w:val="24"/>
          <w:highlight w:val="none"/>
          <w:lang w:val="en-US" w:eastAsia="zh-CN"/>
        </w:rPr>
        <w:t>的，</w:t>
      </w:r>
      <w:r>
        <w:rPr>
          <w:rFonts w:hint="eastAsia" w:ascii="宋体" w:hAnsi="宋体" w:eastAsia="宋体" w:cs="Times New Roman"/>
          <w:b/>
          <w:bCs/>
          <w:color w:val="000000"/>
          <w:sz w:val="24"/>
          <w:szCs w:val="24"/>
          <w:highlight w:val="none"/>
        </w:rPr>
        <w:t>报价为外币（实际支付货币为外币）</w:t>
      </w:r>
      <w:r>
        <w:rPr>
          <w:rFonts w:hint="eastAsia" w:ascii="宋体" w:hAnsi="宋体" w:eastAsia="宋体" w:cs="Times New Roman"/>
          <w:b/>
          <w:bCs/>
          <w:color w:val="000000"/>
          <w:sz w:val="24"/>
          <w:szCs w:val="24"/>
          <w:highlight w:val="none"/>
          <w:lang w:val="en-US" w:eastAsia="zh-CN"/>
        </w:rPr>
        <w:t>的</w:t>
      </w:r>
      <w:r>
        <w:rPr>
          <w:rFonts w:hint="eastAsia" w:ascii="宋体" w:hAnsi="宋体" w:eastAsia="宋体" w:cs="Times New Roman"/>
          <w:b/>
          <w:bCs/>
          <w:color w:val="000000"/>
          <w:sz w:val="24"/>
          <w:szCs w:val="24"/>
          <w:highlight w:val="none"/>
        </w:rPr>
        <w:t>，需按照发标日</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red"/>
          <w:lang w:val="en-US" w:eastAsia="zh-CN"/>
        </w:rPr>
        <w:t>2023年8月21日</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中国人民银行公示的汇率中间价折算成人民币</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lang w:val="en-US" w:eastAsia="zh-CN"/>
        </w:rPr>
        <w:t>填报到e采通平台内</w:t>
      </w:r>
      <w:r>
        <w:rPr>
          <w:rFonts w:hint="eastAsia" w:ascii="宋体" w:hAnsi="宋体" w:eastAsia="宋体" w:cs="Times New Roman"/>
          <w:b/>
          <w:bCs/>
          <w:color w:val="000000"/>
          <w:sz w:val="24"/>
          <w:szCs w:val="24"/>
          <w:highlight w:val="none"/>
        </w:rPr>
        <w:t>；</w:t>
      </w:r>
    </w:p>
    <w:p>
      <w:pPr>
        <w:pStyle w:val="2"/>
        <w:ind w:firstLine="482" w:firstLineChars="200"/>
        <w:rPr>
          <w:rFonts w:hint="default" w:eastAsia="宋体"/>
          <w:b/>
          <w:bCs/>
          <w:highlight w:val="none"/>
          <w:lang w:val="en-US" w:eastAsia="zh-CN"/>
        </w:rPr>
      </w:pPr>
      <w:r>
        <w:rPr>
          <w:rFonts w:hint="eastAsia" w:ascii="宋体" w:hAnsi="宋体" w:eastAsia="宋体" w:cs="Times New Roman"/>
          <w:b/>
          <w:bCs/>
          <w:color w:val="000000"/>
          <w:sz w:val="24"/>
          <w:szCs w:val="24"/>
          <w:highlight w:val="none"/>
          <w:lang w:val="en-US" w:eastAsia="zh-CN"/>
        </w:rPr>
        <w:t>B）对于既包含进口货物（外币），又包含国内货物（人民币，含税价）的，需将外币</w:t>
      </w:r>
      <w:r>
        <w:rPr>
          <w:rFonts w:hint="eastAsia" w:ascii="宋体" w:hAnsi="宋体" w:eastAsia="宋体" w:cs="Times New Roman"/>
          <w:b/>
          <w:bCs/>
          <w:color w:val="000000"/>
          <w:sz w:val="24"/>
          <w:szCs w:val="24"/>
          <w:highlight w:val="none"/>
        </w:rPr>
        <w:t>按照发标日</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red"/>
          <w:lang w:val="en-US" w:eastAsia="zh-CN"/>
        </w:rPr>
        <w:t>2023年</w:t>
      </w:r>
      <w:r>
        <w:rPr>
          <w:rFonts w:hint="eastAsia" w:ascii="宋体" w:hAnsi="宋体" w:cs="Times New Roman"/>
          <w:b/>
          <w:bCs/>
          <w:color w:val="000000"/>
          <w:sz w:val="24"/>
          <w:szCs w:val="24"/>
          <w:highlight w:val="red"/>
          <w:lang w:val="en-US" w:eastAsia="zh-CN"/>
        </w:rPr>
        <w:t>8</w:t>
      </w:r>
      <w:r>
        <w:rPr>
          <w:rFonts w:hint="eastAsia" w:ascii="宋体" w:hAnsi="宋体" w:eastAsia="宋体" w:cs="Times New Roman"/>
          <w:b/>
          <w:bCs/>
          <w:color w:val="000000"/>
          <w:sz w:val="24"/>
          <w:szCs w:val="24"/>
          <w:highlight w:val="red"/>
          <w:lang w:val="en-US" w:eastAsia="zh-CN"/>
        </w:rPr>
        <w:t>月</w:t>
      </w:r>
      <w:r>
        <w:rPr>
          <w:rFonts w:hint="eastAsia" w:ascii="宋体" w:hAnsi="宋体" w:cs="Times New Roman"/>
          <w:b/>
          <w:bCs/>
          <w:color w:val="000000"/>
          <w:sz w:val="24"/>
          <w:szCs w:val="24"/>
          <w:highlight w:val="red"/>
          <w:lang w:val="en-US" w:eastAsia="zh-CN"/>
        </w:rPr>
        <w:t>21</w:t>
      </w:r>
      <w:r>
        <w:rPr>
          <w:rFonts w:hint="eastAsia" w:ascii="宋体" w:hAnsi="宋体" w:eastAsia="宋体" w:cs="Times New Roman"/>
          <w:b/>
          <w:bCs/>
          <w:color w:val="000000"/>
          <w:sz w:val="24"/>
          <w:szCs w:val="24"/>
          <w:highlight w:val="red"/>
          <w:lang w:val="en-US" w:eastAsia="zh-CN"/>
        </w:rPr>
        <w:t>日</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中国人民银行公示的汇率中间价折算成人民币</w:t>
      </w:r>
      <w:r>
        <w:rPr>
          <w:rFonts w:hint="eastAsia" w:ascii="宋体" w:hAnsi="宋体" w:eastAsia="宋体" w:cs="Times New Roman"/>
          <w:b/>
          <w:bCs/>
          <w:color w:val="000000"/>
          <w:sz w:val="24"/>
          <w:szCs w:val="24"/>
          <w:highlight w:val="none"/>
          <w:lang w:val="en-US" w:eastAsia="zh-CN"/>
        </w:rPr>
        <w:t>后，与国内货物的人民报价</w:t>
      </w:r>
      <w:r>
        <w:rPr>
          <w:rFonts w:hint="eastAsia" w:ascii="宋体" w:hAnsi="宋体" w:cs="Times New Roman"/>
          <w:b/>
          <w:bCs/>
          <w:color w:val="000000"/>
          <w:sz w:val="24"/>
          <w:szCs w:val="24"/>
          <w:highlight w:val="none"/>
          <w:lang w:val="en-US" w:eastAsia="zh-CN"/>
        </w:rPr>
        <w:t>（含税）</w:t>
      </w:r>
      <w:r>
        <w:rPr>
          <w:rFonts w:hint="eastAsia" w:ascii="宋体" w:hAnsi="宋体" w:eastAsia="宋体" w:cs="Times New Roman"/>
          <w:b/>
          <w:bCs/>
          <w:color w:val="000000"/>
          <w:sz w:val="24"/>
          <w:szCs w:val="24"/>
          <w:highlight w:val="none"/>
          <w:lang w:val="en-US" w:eastAsia="zh-CN"/>
        </w:rPr>
        <w:t>求和后报到e采通平台内；</w:t>
      </w:r>
    </w:p>
    <w:p>
      <w:pPr>
        <w:spacing w:line="360" w:lineRule="auto"/>
        <w:ind w:firstLine="482" w:firstLineChars="200"/>
        <w:rPr>
          <w:rFonts w:hint="eastAsia" w:ascii="宋体" w:hAnsi="宋体" w:eastAsia="宋体" w:cs="宋体"/>
          <w:b/>
          <w:bCs/>
          <w:color w:val="000000"/>
          <w:sz w:val="24"/>
          <w:szCs w:val="24"/>
          <w:highlight w:val="none"/>
        </w:rPr>
      </w:pPr>
      <w:r>
        <w:rPr>
          <w:rFonts w:hint="eastAsia" w:ascii="宋体" w:hAnsi="宋体" w:eastAsia="宋体" w:cs="Times New Roman"/>
          <w:b/>
          <w:bCs/>
          <w:color w:val="000000"/>
          <w:sz w:val="24"/>
          <w:szCs w:val="24"/>
          <w:highlight w:val="none"/>
          <w:lang w:val="en-US" w:eastAsia="zh-CN"/>
        </w:rPr>
        <w:t>C）对于全部为</w:t>
      </w:r>
      <w:r>
        <w:rPr>
          <w:rFonts w:hint="eastAsia" w:ascii="宋体" w:hAnsi="宋体" w:eastAsia="宋体" w:cs="Times New Roman"/>
          <w:b/>
          <w:bCs/>
          <w:color w:val="000000"/>
          <w:sz w:val="24"/>
          <w:szCs w:val="24"/>
          <w:highlight w:val="none"/>
        </w:rPr>
        <w:t>国内货物</w:t>
      </w:r>
      <w:r>
        <w:rPr>
          <w:rFonts w:hint="eastAsia" w:ascii="宋体" w:hAnsi="宋体" w:eastAsia="宋体" w:cs="Times New Roman"/>
          <w:b/>
          <w:bCs/>
          <w:color w:val="000000"/>
          <w:sz w:val="24"/>
          <w:szCs w:val="24"/>
          <w:highlight w:val="none"/>
          <w:lang w:val="en-US" w:eastAsia="zh-CN"/>
        </w:rPr>
        <w:t>的，</w:t>
      </w:r>
      <w:r>
        <w:rPr>
          <w:rFonts w:hint="eastAsia" w:ascii="宋体" w:hAnsi="宋体" w:eastAsia="宋体" w:cs="Times New Roman"/>
          <w:b/>
          <w:bCs/>
          <w:color w:val="000000"/>
          <w:sz w:val="24"/>
          <w:szCs w:val="24"/>
          <w:highlight w:val="none"/>
        </w:rPr>
        <w:t>报价为人民币</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spacing w:line="360" w:lineRule="auto"/>
        <w:ind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3.2.2纸质报价说明：</w:t>
      </w:r>
    </w:p>
    <w:p>
      <w:pPr>
        <w:spacing w:line="360" w:lineRule="auto"/>
        <w:ind w:firstLine="482" w:firstLineChars="200"/>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按照既定报价单格式报价即可</w:t>
      </w:r>
      <w:r>
        <w:rPr>
          <w:rFonts w:hint="eastAsia" w:ascii="宋体" w:hAnsi="宋体" w:eastAsia="宋体" w:cs="Times New Roman"/>
          <w:b/>
          <w:bCs/>
          <w:color w:val="000000"/>
          <w:sz w:val="24"/>
          <w:szCs w:val="24"/>
          <w:highlight w:val="none"/>
        </w:rPr>
        <w:t>（应同时报含税价和不含税价并写明税率）；并分别注明应实际支付货币币种和金额</w:t>
      </w:r>
      <w:r>
        <w:rPr>
          <w:rFonts w:hint="eastAsia" w:ascii="宋体" w:hAnsi="宋体" w:eastAsia="宋体" w:cs="宋体"/>
          <w:b/>
          <w:bCs/>
          <w:color w:val="000000"/>
          <w:sz w:val="24"/>
          <w:szCs w:val="24"/>
          <w:highlight w:val="none"/>
          <w:lang w:val="en-US" w:eastAsia="zh-CN"/>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按技术规范书提报设备详细技术资料；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w:t>
      </w:r>
      <w:r>
        <w:rPr>
          <w:rFonts w:hint="eastAsia" w:ascii="宋体" w:hAnsi="宋体" w:eastAsia="宋体" w:cs="宋体"/>
          <w:sz w:val="24"/>
          <w:szCs w:val="24"/>
          <w:highlight w:val="none"/>
        </w:rPr>
        <w:t>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1"/>
        <w:spacing w:line="360" w:lineRule="auto"/>
        <w:ind w:firstLine="480"/>
        <w:rPr>
          <w:rFonts w:eastAsia="宋体" w:cs="Times New Roman"/>
          <w:highlight w:val="green"/>
        </w:rPr>
      </w:pPr>
      <w:r>
        <w:rPr>
          <w:rFonts w:hint="eastAsia" w:eastAsia="宋体" w:cs="Times New Roman"/>
          <w:highlight w:val="none"/>
          <w:lang w:val="en-US" w:eastAsia="zh-CN"/>
        </w:rPr>
        <w:t>4</w:t>
      </w:r>
      <w:r>
        <w:rPr>
          <w:rFonts w:hint="eastAsia" w:eastAsia="宋体" w:cs="Times New Roman"/>
          <w:highlight w:val="none"/>
        </w:rPr>
        <w:t>.2招标人银行账户信息：</w:t>
      </w:r>
      <w:r>
        <w:rPr>
          <w:rFonts w:hint="eastAsia" w:eastAsia="宋体" w:cs="Times New Roman"/>
          <w:highlight w:val="none"/>
          <w:lang w:val="en-US" w:eastAsia="zh-CN"/>
        </w:rPr>
        <w:t>见</w:t>
      </w:r>
      <w:r>
        <w:rPr>
          <w:rFonts w:hint="eastAsia" w:eastAsia="宋体" w:cs="Times New Roman"/>
          <w:sz w:val="24"/>
          <w:szCs w:val="24"/>
          <w:highlight w:val="none"/>
        </w:rPr>
        <w:t>《投标须知前附表》</w:t>
      </w:r>
      <w:r>
        <w:rPr>
          <w:rFonts w:hint="eastAsia" w:eastAsia="宋体" w:cs="Times New Roman"/>
          <w:sz w:val="24"/>
          <w:szCs w:val="24"/>
          <w:highlight w:val="none"/>
          <w:lang w:val="en-US" w:eastAsia="zh-CN"/>
        </w:rPr>
        <w:t>4.2；</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r>
        <w:rPr>
          <w:rFonts w:hint="eastAsia" w:ascii="宋体" w:hAnsi="宋体" w:eastAsia="宋体" w:cs="宋体"/>
          <w:sz w:val="24"/>
          <w:szCs w:val="24"/>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w:t>
      </w:r>
      <w:r>
        <w:rPr>
          <w:rFonts w:hint="eastAsia" w:ascii="宋体" w:hAnsi="宋体" w:eastAsia="宋体" w:cs="宋体"/>
          <w:sz w:val="24"/>
          <w:szCs w:val="24"/>
          <w:highlight w:val="none"/>
        </w:rPr>
        <w:t>名方式：见《投标须知前附表》2.3</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w:t>
      </w:r>
      <w:r>
        <w:rPr>
          <w:rFonts w:hint="eastAsia" w:ascii="宋体" w:hAnsi="宋体" w:eastAsia="宋体" w:cs="宋体"/>
          <w:sz w:val="24"/>
          <w:szCs w:val="24"/>
          <w:highlight w:val="none"/>
        </w:rPr>
        <w:t>版，用</w:t>
      </w:r>
      <w:r>
        <w:rPr>
          <w:rFonts w:hint="eastAsia" w:ascii="宋体" w:hAnsi="宋体" w:eastAsia="宋体" w:cs="宋体"/>
          <w:sz w:val="24"/>
          <w:szCs w:val="24"/>
          <w:highlight w:val="none"/>
          <w:lang w:val="en-US" w:eastAsia="zh-CN"/>
        </w:rPr>
        <w:t>公司名称+</w:t>
      </w:r>
      <w:r>
        <w:rPr>
          <w:rFonts w:hint="eastAsia" w:ascii="宋体" w:hAnsi="宋体" w:eastAsia="宋体" w:cs="宋体"/>
          <w:sz w:val="24"/>
          <w:szCs w:val="24"/>
          <w:highlight w:val="none"/>
        </w:rPr>
        <w:t>文件名称命名。</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要提交三证合一的营业执照副本、法人授权委托书（含法人及授权人身份信息证明、授权代表联系方式）。</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，要提交三证合一的营业执照副本、法人代表证明文件。</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keepLines/>
        <w:spacing w:line="360" w:lineRule="auto"/>
        <w:ind w:left="0" w:leftChars="0" w:firstLine="0" w:firstLineChars="0"/>
        <w:jc w:val="left"/>
        <w:outlineLvl w:val="1"/>
        <w:rPr>
          <w:rFonts w:hint="eastAsia" w:ascii="宋体" w:hAnsi="宋体" w:eastAsia="宋体" w:cs="宋体"/>
          <w:b/>
          <w:bCs/>
          <w:color w:val="000000"/>
          <w:sz w:val="24"/>
          <w:szCs w:val="24"/>
        </w:rPr>
      </w:pPr>
      <w:bookmarkStart w:id="7" w:name="_Toc33266950"/>
      <w:bookmarkStart w:id="8" w:name="_Toc33266627"/>
      <w:bookmarkStart w:id="9" w:name="_Toc33267001"/>
      <w:bookmarkStart w:id="10" w:name="_Toc33285487"/>
      <w:bookmarkStart w:id="11" w:name="_Toc33265653"/>
      <w:bookmarkStart w:id="12" w:name="_Toc33265752"/>
      <w:bookmarkStart w:id="13" w:name="_Toc33266914"/>
      <w:r>
        <w:rPr>
          <w:rFonts w:hint="eastAsia" w:ascii="宋体" w:hAnsi="宋体" w:eastAsia="宋体" w:cs="宋体"/>
          <w:b/>
          <w:bCs/>
          <w:color w:val="000000"/>
          <w:sz w:val="24"/>
          <w:szCs w:val="24"/>
        </w:rPr>
        <w:t>六、评</w:t>
      </w:r>
      <w:r>
        <w:rPr>
          <w:rFonts w:hint="eastAsia" w:ascii="宋体" w:hAnsi="宋体" w:eastAsia="宋体" w:cs="宋体"/>
          <w:b/>
          <w:bCs/>
          <w:color w:val="000000"/>
          <w:sz w:val="24"/>
          <w:szCs w:val="24"/>
          <w:lang w:val="en-US" w:eastAsia="zh-CN"/>
        </w:rPr>
        <w:t>标</w:t>
      </w:r>
      <w:r>
        <w:rPr>
          <w:rFonts w:hint="eastAsia" w:ascii="宋体" w:hAnsi="宋体" w:eastAsia="宋体" w:cs="宋体"/>
          <w:b/>
          <w:bCs/>
          <w:color w:val="000000"/>
          <w:sz w:val="24"/>
          <w:szCs w:val="24"/>
        </w:rPr>
        <w:t>原则</w:t>
      </w:r>
      <w:bookmarkEnd w:id="7"/>
      <w:bookmarkEnd w:id="8"/>
      <w:bookmarkEnd w:id="9"/>
      <w:bookmarkEnd w:id="10"/>
      <w:bookmarkEnd w:id="11"/>
      <w:bookmarkEnd w:id="12"/>
      <w:bookmarkEnd w:id="13"/>
      <w:bookmarkStart w:id="14" w:name="_Toc395116633"/>
    </w:p>
    <w:bookmarkEnd w:id="14"/>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宋体"/>
          <w:b/>
          <w:bCs/>
          <w:sz w:val="24"/>
          <w:szCs w:val="24"/>
          <w:highlight w:val="none"/>
          <w:lang w:val="en-US" w:eastAsia="zh-CN"/>
        </w:rPr>
        <w:t>合理最低价中标</w:t>
      </w:r>
      <w:bookmarkStart w:id="15" w:name="_Toc33265654"/>
      <w:bookmarkStart w:id="16" w:name="_Toc33266951"/>
      <w:bookmarkStart w:id="17" w:name="_Toc395116634"/>
      <w:bookmarkStart w:id="18" w:name="_Toc33266628"/>
      <w:bookmarkStart w:id="19" w:name="_Toc33265753"/>
      <w:bookmarkStart w:id="20" w:name="_Toc33285489"/>
      <w:bookmarkStart w:id="21" w:name="_Toc33267002"/>
      <w:bookmarkStart w:id="22" w:name="_Toc33266915"/>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w:t>
      </w:r>
      <w:r>
        <w:rPr>
          <w:rFonts w:hint="eastAsia" w:ascii="宋体" w:hAnsi="宋体" w:eastAsia="宋体" w:cs="宋体"/>
          <w:b/>
          <w:color w:val="000000"/>
          <w:sz w:val="24"/>
          <w:szCs w:val="24"/>
          <w:lang w:val="en-US" w:eastAsia="zh-CN"/>
        </w:rPr>
        <w:t>方</w:t>
      </w:r>
      <w:r>
        <w:rPr>
          <w:rFonts w:hint="eastAsia" w:ascii="宋体" w:hAnsi="宋体" w:eastAsia="宋体" w:cs="宋体"/>
          <w:b/>
          <w:color w:val="000000"/>
          <w:sz w:val="24"/>
          <w:szCs w:val="24"/>
        </w:rPr>
        <w:t>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4"/>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4"/>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pPr>
        <w:numPr>
          <w:ilvl w:val="0"/>
          <w:numId w:val="4"/>
        </w:numPr>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p>
    <w:p>
      <w:pPr>
        <w:numPr>
          <w:ilvl w:val="0"/>
          <w:numId w:val="6"/>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spacing w:line="360" w:lineRule="auto"/>
        <w:ind w:firstLine="482"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b/>
          <w:color w:val="auto"/>
          <w:sz w:val="24"/>
          <w:szCs w:val="24"/>
          <w:highlight w:val="none"/>
          <w:lang w:val="en-US" w:eastAsia="zh-CN"/>
        </w:rPr>
        <w:t xml:space="preserve"> 注意：投标人均需自带笔记本电脑在重汽e采通平台自主进行投标和提交澄清函；投标和提交澄清函均有时间限制，超时未提交的按无效处理。  </w:t>
      </w:r>
    </w:p>
    <w:p>
      <w:pPr>
        <w:numPr>
          <w:ilvl w:val="0"/>
          <w:numId w:val="0"/>
        </w:numPr>
        <w:spacing w:line="360" w:lineRule="auto"/>
        <w:ind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2.中标人确定</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技术入围后，原则上</w:t>
      </w:r>
      <w:r>
        <w:rPr>
          <w:rFonts w:hint="eastAsia" w:ascii="宋体" w:hAnsi="宋体" w:eastAsia="宋体" w:cs="宋体"/>
          <w:b/>
          <w:bCs w:val="0"/>
          <w:color w:val="auto"/>
          <w:sz w:val="24"/>
          <w:szCs w:val="24"/>
          <w:highlight w:val="none"/>
          <w:lang w:val="en-US" w:eastAsia="zh-CN"/>
        </w:rPr>
        <w:t>合理最低价中标</w:t>
      </w:r>
      <w:r>
        <w:rPr>
          <w:rFonts w:hint="eastAsia" w:ascii="宋体" w:hAnsi="宋体" w:eastAsia="宋体" w:cs="宋体"/>
          <w:b/>
          <w:color w:val="auto"/>
          <w:sz w:val="24"/>
          <w:szCs w:val="24"/>
          <w:highlight w:val="none"/>
        </w:rPr>
        <w:t>。</w:t>
      </w:r>
    </w:p>
    <w:p>
      <w:pPr>
        <w:keepNext w:val="0"/>
        <w:keepLines w:val="0"/>
        <w:widowControl/>
        <w:suppressLineNumbers w:val="0"/>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否变更意向中标人。</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在中国重汽e采通平台公布中标结果，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outlineLvl w:val="9"/>
        <w:rPr>
          <w:rFonts w:hint="eastAsia" w:ascii="宋体" w:hAnsi="宋体" w:eastAsia="宋体" w:cs="宋体"/>
          <w:sz w:val="24"/>
          <w:szCs w:val="24"/>
          <w:lang w:val="en-US" w:eastAsia="zh-CN"/>
        </w:rPr>
      </w:pPr>
      <w:r>
        <w:rPr>
          <w:rFonts w:hint="eastAsia" w:ascii="宋体" w:hAnsi="宋体" w:eastAsia="宋体" w:cs="宋体"/>
          <w:b/>
          <w:sz w:val="24"/>
          <w:szCs w:val="24"/>
          <w:lang w:val="en-US" w:eastAsia="zh-CN"/>
        </w:rPr>
        <w:t xml:space="preserve">    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7"/>
      <w:bookmarkStart w:id="24" w:name="OLE_LINK29"/>
      <w:bookmarkStart w:id="25" w:name="OLE_LINK25"/>
      <w:bookmarkStart w:id="26" w:name="OLE_LINK26"/>
      <w:bookmarkStart w:id="27" w:name="OLE_LINK28"/>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keepNext w:val="0"/>
        <w:keepLines w:val="0"/>
        <w:spacing w:line="360" w:lineRule="auto"/>
        <w:ind w:right="2"/>
        <w:outlineLvl w:val="9"/>
        <w:rPr>
          <w:rFonts w:hint="eastAsia" w:ascii="宋体" w:hAnsi="宋体" w:eastAsia="宋体" w:cs="宋体"/>
          <w:b/>
          <w:bCs/>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0" w:firstLineChars="0"/>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6"/>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pgNumType w:fmt="decimal" w:start="7"/>
          <w:cols w:space="720" w:num="1"/>
          <w:docGrid w:linePitch="290" w:charSpace="-3931"/>
        </w:sectPr>
      </w:pPr>
    </w:p>
    <w:p>
      <w:pPr>
        <w:pStyle w:val="16"/>
        <w:numPr>
          <w:ilvl w:val="-1"/>
          <w:numId w:val="0"/>
        </w:numPr>
        <w:spacing w:line="360" w:lineRule="auto"/>
        <w:jc w:val="center"/>
        <w:outlineLvl w:val="0"/>
        <w:rPr>
          <w:rFonts w:hint="eastAsia" w:ascii="宋体" w:hAnsi="宋体" w:eastAsia="宋体" w:cs="宋体"/>
          <w:b/>
          <w:bCs/>
          <w:kern w:val="44"/>
          <w:sz w:val="24"/>
          <w:szCs w:val="24"/>
        </w:rPr>
      </w:pPr>
      <w:bookmarkStart w:id="28" w:name="_Toc22879"/>
      <w:r>
        <w:rPr>
          <w:rFonts w:hint="eastAsia" w:ascii="宋体" w:hAnsi="宋体" w:eastAsia="宋体" w:cs="宋体"/>
          <w:b/>
          <w:bCs/>
          <w:kern w:val="44"/>
          <w:sz w:val="24"/>
          <w:szCs w:val="24"/>
          <w:lang w:val="en-US" w:eastAsia="zh-CN"/>
        </w:rPr>
        <w:t>第三部分</w:t>
      </w:r>
      <w:r>
        <w:rPr>
          <w:rFonts w:hint="eastAsia" w:ascii="宋体" w:hAnsi="宋体" w:eastAsia="宋体" w:cs="宋体"/>
          <w:b/>
          <w:bCs/>
          <w:kern w:val="44"/>
          <w:sz w:val="24"/>
          <w:szCs w:val="2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w:t>
      </w:r>
      <w:r>
        <w:rPr>
          <w:rFonts w:hint="eastAsia" w:ascii="宋体" w:hAnsi="宋体" w:eastAsia="宋体" w:cs="宋体"/>
          <w:color w:val="000000"/>
          <w:sz w:val="24"/>
          <w:szCs w:val="24"/>
          <w:lang w:val="en-US" w:eastAsia="zh-CN"/>
        </w:rPr>
        <w:t>须</w:t>
      </w:r>
      <w:r>
        <w:rPr>
          <w:rFonts w:hint="eastAsia" w:ascii="宋体" w:hAnsi="宋体" w:eastAsia="宋体" w:cs="宋体"/>
          <w:color w:val="000000"/>
          <w:sz w:val="24"/>
          <w:szCs w:val="24"/>
        </w:rPr>
        <w:t>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投标人所投标设备详细技术资料清单，在投标文件中列示说明</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投标人完整的技术支持与售后服务实施方案，在投标文件中列示说明，包含但不限于以下内容：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 xml:space="preserve">1 </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b/>
          <w:bCs/>
          <w:kern w:val="0"/>
          <w:sz w:val="24"/>
          <w:szCs w:val="24"/>
          <w:highlight w:val="none"/>
          <w:u w:val="single"/>
          <w:lang w:val="en-US" w:eastAsia="zh-CN" w:bidi="en-US"/>
        </w:rPr>
        <w:t>6</w:t>
      </w:r>
      <w:r>
        <w:rPr>
          <w:rFonts w:hint="eastAsia" w:ascii="宋体" w:hAnsi="宋体" w:eastAsia="宋体" w:cs="宋体"/>
          <w:b/>
          <w:bCs/>
          <w:color w:val="auto"/>
          <w:kern w:val="0"/>
          <w:sz w:val="24"/>
          <w:szCs w:val="24"/>
          <w:highlight w:val="none"/>
          <w:u w:val="single"/>
          <w:lang w:bidi="en-US"/>
        </w:rPr>
        <w:t>个月</w:t>
      </w:r>
      <w:r>
        <w:rPr>
          <w:rFonts w:hint="eastAsia" w:ascii="宋体" w:hAnsi="宋体" w:eastAsia="宋体" w:cs="宋体"/>
          <w:b/>
          <w:bCs/>
          <w:color w:val="auto"/>
          <w:kern w:val="0"/>
          <w:sz w:val="24"/>
          <w:szCs w:val="24"/>
          <w:highlight w:val="none"/>
          <w:u w:val="singl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color w:val="000000"/>
          <w:sz w:val="24"/>
          <w:szCs w:val="24"/>
        </w:rPr>
        <w:t>1.4近三年</w:t>
      </w:r>
      <w:r>
        <w:rPr>
          <w:rFonts w:hint="eastAsia" w:ascii="宋体" w:hAnsi="宋体" w:eastAsia="宋体" w:cs="宋体"/>
          <w:b w:val="0"/>
          <w:bCs w:val="0"/>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w:t>
      </w:r>
      <w:r>
        <w:rPr>
          <w:rFonts w:hint="eastAsia" w:ascii="宋体" w:hAnsi="宋体" w:eastAsia="宋体" w:cs="宋体"/>
          <w:b/>
          <w:bCs/>
          <w:color w:val="000000"/>
          <w:sz w:val="24"/>
          <w:szCs w:val="24"/>
        </w:rPr>
        <w:t>填写投标人基本情况及资产情况汇总表（附件3）</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highlight w:val="none"/>
          <w:lang w:val="en-US" w:eastAsia="zh-CN"/>
        </w:rPr>
        <w:t>对于境外投标人，</w:t>
      </w:r>
      <w:r>
        <w:rPr>
          <w:rFonts w:hint="eastAsia" w:ascii="宋体" w:hAnsi="宋体" w:eastAsia="宋体" w:cs="宋体"/>
          <w:color w:val="000000"/>
          <w:sz w:val="24"/>
          <w:szCs w:val="24"/>
          <w:highlight w:val="none"/>
        </w:rPr>
        <w:t>若没有财务审计报告，需提供资产负债表、利润表、现金流量表（加盖公章版）</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且</w:t>
      </w:r>
      <w:r>
        <w:rPr>
          <w:rFonts w:hint="eastAsia" w:ascii="宋体" w:hAnsi="宋体" w:eastAsia="宋体" w:cs="宋体"/>
          <w:color w:val="000000"/>
          <w:sz w:val="24"/>
          <w:szCs w:val="24"/>
          <w:highlight w:val="none"/>
        </w:rPr>
        <w:t>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保密承诺函（附件4）</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1.11企业</w:t>
      </w:r>
      <w:r>
        <w:rPr>
          <w:rFonts w:hint="eastAsia" w:hAnsi="宋体" w:eastAsia="宋体" w:cs="宋体"/>
          <w:sz w:val="24"/>
          <w:szCs w:val="24"/>
          <w:highlight w:val="none"/>
          <w:lang w:val="en-US" w:eastAsia="zh-CN"/>
        </w:rPr>
        <w:t>2020年1月1日至今，</w:t>
      </w:r>
      <w:r>
        <w:rPr>
          <w:rFonts w:hint="eastAsia" w:ascii="宋体" w:hAnsi="宋体" w:eastAsia="宋体" w:cs="宋体"/>
          <w:color w:val="000000"/>
          <w:sz w:val="24"/>
          <w:szCs w:val="24"/>
          <w:highlight w:val="none"/>
        </w:rPr>
        <w:t>同类项目业绩</w:t>
      </w:r>
      <w:r>
        <w:rPr>
          <w:rFonts w:hint="eastAsia" w:ascii="宋体" w:hAnsi="宋体" w:eastAsia="宋体" w:cs="宋体"/>
          <w:color w:val="000000"/>
          <w:sz w:val="24"/>
          <w:szCs w:val="24"/>
          <w:highlight w:val="none"/>
          <w:lang w:val="en-US" w:eastAsia="zh-CN"/>
        </w:rPr>
        <w:t>证明</w:t>
      </w:r>
      <w:r>
        <w:rPr>
          <w:rFonts w:hint="eastAsia" w:hAnsi="宋体" w:eastAsia="宋体" w:cs="宋体"/>
          <w:color w:val="000000"/>
          <w:sz w:val="24"/>
          <w:szCs w:val="24"/>
          <w:highlight w:val="none"/>
        </w:rPr>
        <w:t>，</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color w:val="000000"/>
          <w:sz w:val="24"/>
          <w:szCs w:val="24"/>
          <w:highlight w:val="none"/>
          <w:lang w:val="en-US"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 xml:space="preserve">2 </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pStyle w:val="16"/>
        <w:spacing w:line="360" w:lineRule="auto"/>
        <w:ind w:firstLine="480"/>
        <w:rPr>
          <w:rFonts w:hint="default" w:eastAsia="宋体"/>
          <w:highlight w:val="yellow"/>
          <w:lang w:val="en-US" w:eastAsia="zh-CN"/>
        </w:rPr>
      </w:pPr>
      <w:r>
        <w:rPr>
          <w:rFonts w:hint="eastAsia" w:ascii="宋体" w:hAnsi="宋体" w:eastAsia="宋体" w:cs="宋体"/>
          <w:color w:val="000000"/>
          <w:kern w:val="2"/>
          <w:sz w:val="24"/>
          <w:szCs w:val="24"/>
          <w:highlight w:val="yellow"/>
          <w:lang w:val="en-US" w:eastAsia="zh-CN" w:bidi="ar-SA"/>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val="0"/>
          <w:color w:val="000000"/>
          <w:sz w:val="24"/>
          <w:szCs w:val="24"/>
        </w:rPr>
        <w:t>2.</w:t>
      </w:r>
      <w:r>
        <w:rPr>
          <w:rFonts w:hint="eastAsia" w:ascii="宋体" w:hAnsi="宋体" w:eastAsia="宋体" w:cs="宋体"/>
          <w:bCs w:val="0"/>
          <w:color w:val="000000"/>
          <w:sz w:val="24"/>
          <w:szCs w:val="24"/>
          <w:lang w:eastAsia="zh-CN"/>
        </w:rPr>
        <w:t>3</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2020年1月1日</w:t>
      </w:r>
      <w:r>
        <w:rPr>
          <w:rFonts w:hint="eastAsia" w:ascii="宋体" w:hAnsi="宋体" w:eastAsia="宋体" w:cs="宋体"/>
          <w:color w:val="000000"/>
          <w:sz w:val="24"/>
          <w:szCs w:val="24"/>
        </w:rPr>
        <w:t>以来同类产品的制造销售业绩（用户名单、联系方式），并附合同复印件。该同类项目业绩一览表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3 </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，其余未尽事宜请按各</w:t>
      </w: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习惯制定即可。</w:t>
      </w:r>
    </w:p>
    <w:p>
      <w:pPr>
        <w:pStyle w:val="16"/>
        <w:spacing w:line="360" w:lineRule="auto"/>
        <w:jc w:val="center"/>
        <w:rPr>
          <w:rFonts w:hint="eastAsia" w:ascii="宋体" w:hAnsi="宋体" w:eastAsia="宋体" w:cs="宋体"/>
          <w:b/>
          <w:bCs/>
          <w:kern w:val="44"/>
          <w:sz w:val="24"/>
          <w:szCs w:val="24"/>
        </w:rPr>
        <w:sectPr>
          <w:pgSz w:w="11907" w:h="16840"/>
          <w:pgMar w:top="1304" w:right="1418" w:bottom="1304" w:left="1418" w:header="724" w:footer="851" w:gutter="0"/>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第四部分 技术标书</w:t>
      </w:r>
    </w:p>
    <w:p>
      <w:pPr>
        <w:pStyle w:val="16"/>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氨分析仪招标项目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第一节  使用环境</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w:t>
      </w:r>
      <w:r>
        <w:rPr>
          <w:rFonts w:hint="eastAsia" w:ascii="宋体" w:hAnsi="宋体" w:eastAsia="宋体" w:cs="宋体"/>
          <w:sz w:val="24"/>
          <w:szCs w:val="24"/>
          <w:highlight w:val="none"/>
        </w:rPr>
        <w:t>名称：</w:t>
      </w:r>
      <w:r>
        <w:rPr>
          <w:rFonts w:hint="eastAsia" w:ascii="宋体" w:hAnsi="宋体" w:eastAsia="宋体" w:cs="宋体"/>
          <w:color w:val="000000"/>
          <w:sz w:val="24"/>
          <w:szCs w:val="24"/>
          <w:highlight w:val="none"/>
          <w:u w:val="single"/>
        </w:rPr>
        <w:t>氨分析仪</w:t>
      </w:r>
      <w:r>
        <w:rPr>
          <w:rFonts w:hint="eastAsia" w:ascii="宋体" w:hAnsi="宋体" w:eastAsia="宋体" w:cs="宋体"/>
          <w:sz w:val="24"/>
          <w:szCs w:val="24"/>
          <w:highlight w:val="none"/>
          <w:u w:val="single"/>
        </w:rPr>
        <w:t>项目</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济南市高新区华奥路777号重汽科技园区</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济南市高新区华奥路777号重汽科技园区</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lang w:val="en-US" w:eastAsia="zh-CN"/>
        </w:rPr>
        <w:t>365</w:t>
      </w:r>
      <w:r>
        <w:rPr>
          <w:rFonts w:hint="eastAsia" w:ascii="宋体" w:hAnsi="宋体" w:eastAsia="宋体" w:cs="宋体"/>
          <w:sz w:val="24"/>
          <w:szCs w:val="24"/>
        </w:rPr>
        <w:t>天、</w:t>
      </w:r>
      <w:r>
        <w:rPr>
          <w:rFonts w:hint="eastAsia" w:ascii="宋体" w:hAnsi="宋体" w:eastAsia="宋体" w:cs="宋体"/>
          <w:sz w:val="24"/>
          <w:szCs w:val="24"/>
          <w:lang w:val="en-US" w:eastAsia="zh-CN"/>
        </w:rPr>
        <w:t>一</w:t>
      </w:r>
      <w:r>
        <w:rPr>
          <w:rFonts w:hint="eastAsia" w:ascii="宋体" w:hAnsi="宋体" w:eastAsia="宋体" w:cs="宋体"/>
          <w:sz w:val="24"/>
          <w:szCs w:val="24"/>
        </w:rPr>
        <w:t>班制、设备年时基数</w:t>
      </w:r>
      <w:r>
        <w:rPr>
          <w:rFonts w:hint="eastAsia" w:ascii="宋体" w:hAnsi="宋体" w:eastAsia="宋体" w:cs="宋体"/>
          <w:sz w:val="24"/>
          <w:szCs w:val="24"/>
          <w:lang w:val="en-US" w:eastAsia="zh-CN"/>
        </w:rPr>
        <w:t>2190</w:t>
      </w:r>
      <w:r>
        <w:rPr>
          <w:rFonts w:hint="eastAsia" w:ascii="宋体" w:hAnsi="宋体" w:eastAsia="宋体" w:cs="宋体"/>
          <w:sz w:val="24"/>
          <w:szCs w:val="24"/>
        </w:rPr>
        <w:t>小时</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hint="eastAsia" w:ascii="宋体" w:hAnsi="宋体" w:eastAsia="宋体" w:cs="宋体"/>
          <w:bCs/>
          <w:sz w:val="24"/>
          <w:szCs w:val="24"/>
          <w:lang w:val="en-US" w:eastAsia="zh-CN"/>
        </w:rPr>
        <w:t>4000</w:t>
      </w:r>
      <w:r>
        <w:rPr>
          <w:rFonts w:hint="eastAsia" w:ascii="宋体" w:hAnsi="宋体" w:eastAsia="宋体" w:cs="宋体"/>
          <w:bCs/>
          <w:sz w:val="24"/>
          <w:szCs w:val="24"/>
        </w:rPr>
        <w:t>m以下。</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w:t>
      </w:r>
      <w:r>
        <w:rPr>
          <w:rFonts w:hint="eastAsia" w:ascii="宋体" w:hAnsi="宋体" w:eastAsia="宋体" w:cs="宋体"/>
          <w:bCs/>
          <w:sz w:val="24"/>
          <w:szCs w:val="24"/>
          <w:lang w:val="en-US" w:eastAsia="zh-CN"/>
        </w:rPr>
        <w:t>12</w:t>
      </w:r>
      <w:r>
        <w:rPr>
          <w:rFonts w:hint="eastAsia" w:ascii="宋体" w:hAnsi="宋体" w:eastAsia="宋体" w:cs="宋体"/>
          <w:bCs/>
          <w:sz w:val="24"/>
          <w:szCs w:val="24"/>
        </w:rPr>
        <w:t>℃、极端最高温度45℃。</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3.相对湿度：最大95%、最小15%。</w:t>
      </w:r>
    </w:p>
    <w:p>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pPr>
        <w:pStyle w:val="16"/>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2.不低于500Lx。</w:t>
      </w:r>
    </w:p>
    <w:p>
      <w:pPr>
        <w:pStyle w:val="16"/>
        <w:spacing w:line="360" w:lineRule="auto"/>
        <w:ind w:firstLine="480"/>
        <w:rPr>
          <w:rFonts w:hint="eastAsia" w:ascii="宋体" w:hAnsi="宋体" w:eastAsia="宋体" w:cs="宋体"/>
          <w:bCs/>
          <w:sz w:val="24"/>
          <w:szCs w:val="24"/>
          <w:lang w:eastAsia="zh-CN"/>
        </w:rPr>
      </w:pPr>
      <w:r>
        <w:rPr>
          <w:rFonts w:hAnsi="宋体" w:eastAsia="宋体" w:cs="宋体"/>
          <w:bCs/>
          <w:sz w:val="24"/>
          <w:szCs w:val="24"/>
        </w:rPr>
        <w:t>3</w:t>
      </w:r>
      <w:r>
        <w:rPr>
          <w:rFonts w:hint="eastAsia" w:hAnsi="宋体" w:eastAsia="宋体" w:cs="宋体"/>
          <w:bCs/>
          <w:sz w:val="24"/>
          <w:szCs w:val="24"/>
        </w:rPr>
        <w:t>.</w:t>
      </w:r>
      <w:r>
        <w:rPr>
          <w:rFonts w:hAnsi="宋体" w:eastAsia="宋体" w:cs="宋体"/>
          <w:bCs/>
          <w:sz w:val="24"/>
          <w:szCs w:val="24"/>
        </w:rPr>
        <w:t>压缩空气：空压机产的压缩空气,经除水、油处理，压力范围为0.5～0.7MPa</w:t>
      </w:r>
      <w:r>
        <w:rPr>
          <w:rFonts w:hint="eastAsia" w:hAnsi="宋体" w:eastAsia="宋体" w:cs="宋体"/>
          <w:bCs/>
          <w:sz w:val="24"/>
          <w:szCs w:val="24"/>
          <w:lang w:eastAsia="zh-CN"/>
        </w:rPr>
        <w:t>。</w:t>
      </w:r>
    </w:p>
    <w:p>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第二节  采购货物概况</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氨分析仪设备</w:t>
      </w:r>
      <w:r>
        <w:rPr>
          <w:rFonts w:hint="eastAsia" w:ascii="宋体" w:hAnsi="宋体" w:eastAsia="宋体" w:cs="宋体"/>
          <w:sz w:val="24"/>
          <w:szCs w:val="24"/>
        </w:rPr>
        <w:t>（详见下表）</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lang w:val="en-US" w:eastAsia="zh-CN"/>
        </w:rPr>
        <w:t>3套</w:t>
      </w:r>
      <w:r>
        <w:rPr>
          <w:rFonts w:hint="eastAsia" w:ascii="宋体" w:hAnsi="宋体" w:eastAsia="宋体" w:cs="宋体"/>
          <w:sz w:val="24"/>
          <w:szCs w:val="24"/>
        </w:rPr>
        <w:t>（详见下表）</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926"/>
        <w:gridCol w:w="3552"/>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1926" w:type="dxa"/>
            <w:vAlign w:val="center"/>
          </w:tcPr>
          <w:p>
            <w:pPr>
              <w:jc w:val="center"/>
              <w:rPr>
                <w:rFonts w:ascii="宋体" w:hAnsi="宋体" w:eastAsia="宋体" w:cs="宋体"/>
                <w:sz w:val="24"/>
                <w:szCs w:val="24"/>
              </w:rPr>
            </w:pPr>
            <w:r>
              <w:rPr>
                <w:rFonts w:hint="eastAsia" w:ascii="宋体" w:hAnsi="宋体" w:eastAsia="宋体" w:cs="宋体"/>
                <w:sz w:val="24"/>
                <w:szCs w:val="24"/>
              </w:rPr>
              <w:t>名称</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1926" w:type="dxa"/>
            <w:vAlign w:val="center"/>
          </w:tcPr>
          <w:p>
            <w:pPr>
              <w:jc w:val="center"/>
              <w:rPr>
                <w:rFonts w:ascii="宋体" w:hAnsi="宋体" w:eastAsia="宋体" w:cs="宋体"/>
                <w:color w:val="000000"/>
                <w:sz w:val="24"/>
                <w:szCs w:val="24"/>
              </w:rPr>
            </w:pPr>
            <w:r>
              <w:rPr>
                <w:rFonts w:hint="eastAsia" w:ascii="宋体" w:hAnsi="宋体" w:eastAsia="宋体" w:cs="宋体"/>
                <w:sz w:val="24"/>
                <w:szCs w:val="24"/>
              </w:rPr>
              <w:t>氨分析仪</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jc w:val="center"/>
              <w:rPr>
                <w:rFonts w:ascii="宋体" w:hAnsi="宋体" w:eastAsia="宋体" w:cs="宋体"/>
                <w:color w:val="000000"/>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1926" w:type="dxa"/>
            <w:vAlign w:val="center"/>
          </w:tcPr>
          <w:p>
            <w:pPr>
              <w:jc w:val="center"/>
              <w:rPr>
                <w:rFonts w:ascii="宋体" w:hAnsi="宋体" w:eastAsia="宋体" w:cs="宋体"/>
                <w:sz w:val="24"/>
                <w:szCs w:val="24"/>
              </w:rPr>
            </w:pPr>
            <w:r>
              <w:rPr>
                <w:rFonts w:hint="eastAsia" w:ascii="宋体" w:hAnsi="宋体" w:eastAsia="宋体" w:cs="宋体"/>
                <w:sz w:val="24"/>
                <w:szCs w:val="24"/>
              </w:rPr>
              <w:t>线性化检查器</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c>
          <w:tcPr>
            <w:tcW w:w="1926" w:type="dxa"/>
            <w:vAlign w:val="bottom"/>
          </w:tcPr>
          <w:p>
            <w:pPr>
              <w:jc w:val="center"/>
              <w:rPr>
                <w:rFonts w:ascii="宋体" w:hAnsi="宋体" w:eastAsia="宋体" w:cs="宋体"/>
                <w:sz w:val="24"/>
                <w:szCs w:val="24"/>
              </w:rPr>
            </w:pPr>
            <w:r>
              <w:rPr>
                <w:rFonts w:hint="eastAsia" w:ascii="宋体" w:hAnsi="宋体" w:eastAsia="宋体" w:cs="宋体"/>
                <w:sz w:val="24"/>
                <w:szCs w:val="24"/>
              </w:rPr>
              <w:t>前置过滤器</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个</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4</w:t>
            </w:r>
          </w:p>
        </w:tc>
        <w:tc>
          <w:tcPr>
            <w:tcW w:w="1926" w:type="dxa"/>
            <w:vAlign w:val="bottom"/>
          </w:tcPr>
          <w:p>
            <w:pPr>
              <w:jc w:val="center"/>
              <w:rPr>
                <w:rFonts w:ascii="宋体" w:hAnsi="宋体" w:eastAsia="宋体" w:cs="宋体"/>
                <w:sz w:val="24"/>
                <w:szCs w:val="24"/>
              </w:rPr>
            </w:pPr>
            <w:r>
              <w:rPr>
                <w:rFonts w:hint="eastAsia" w:ascii="宋体" w:hAnsi="宋体" w:eastAsia="宋体" w:cs="宋体"/>
                <w:sz w:val="24"/>
                <w:szCs w:val="24"/>
              </w:rPr>
              <w:t>采样热管</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根</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5</w:t>
            </w:r>
          </w:p>
        </w:tc>
        <w:tc>
          <w:tcPr>
            <w:tcW w:w="1926" w:type="dxa"/>
            <w:vAlign w:val="bottom"/>
          </w:tcPr>
          <w:p>
            <w:pPr>
              <w:jc w:val="center"/>
              <w:rPr>
                <w:rFonts w:ascii="宋体" w:hAnsi="宋体" w:eastAsia="宋体" w:cs="宋体"/>
                <w:sz w:val="24"/>
                <w:szCs w:val="24"/>
              </w:rPr>
            </w:pPr>
            <w:r>
              <w:rPr>
                <w:rFonts w:hint="eastAsia" w:ascii="宋体" w:hAnsi="宋体" w:eastAsia="宋体" w:cs="宋体"/>
                <w:sz w:val="24"/>
                <w:szCs w:val="24"/>
              </w:rPr>
              <w:t>采样探头</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根</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6</w:t>
            </w:r>
          </w:p>
        </w:tc>
        <w:tc>
          <w:tcPr>
            <w:tcW w:w="1926" w:type="dxa"/>
            <w:vAlign w:val="center"/>
          </w:tcPr>
          <w:p>
            <w:pPr>
              <w:jc w:val="center"/>
              <w:rPr>
                <w:rFonts w:ascii="宋体" w:hAnsi="宋体" w:eastAsia="宋体" w:cs="宋体"/>
                <w:sz w:val="24"/>
                <w:szCs w:val="24"/>
              </w:rPr>
            </w:pPr>
            <w:r>
              <w:rPr>
                <w:rFonts w:hint="eastAsia" w:ascii="宋体" w:hAnsi="宋体" w:eastAsia="宋体" w:cs="宋体"/>
                <w:sz w:val="24"/>
                <w:szCs w:val="24"/>
              </w:rPr>
              <w:t>设备主控单元及标定单元</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7</w:t>
            </w:r>
          </w:p>
        </w:tc>
        <w:tc>
          <w:tcPr>
            <w:tcW w:w="1926" w:type="dxa"/>
            <w:vAlign w:val="center"/>
          </w:tcPr>
          <w:p>
            <w:pPr>
              <w:jc w:val="center"/>
              <w:rPr>
                <w:rFonts w:ascii="宋体" w:hAnsi="宋体" w:eastAsia="宋体" w:cs="宋体"/>
                <w:sz w:val="24"/>
                <w:szCs w:val="24"/>
              </w:rPr>
            </w:pPr>
            <w:r>
              <w:rPr>
                <w:rFonts w:hint="eastAsia" w:ascii="宋体" w:hAnsi="宋体" w:eastAsia="宋体" w:cs="宋体"/>
                <w:sz w:val="24"/>
                <w:szCs w:val="24"/>
              </w:rPr>
              <w:t>设备用移动减震小车</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8</w:t>
            </w:r>
          </w:p>
        </w:tc>
        <w:tc>
          <w:tcPr>
            <w:tcW w:w="1926" w:type="dxa"/>
            <w:vAlign w:val="bottom"/>
          </w:tcPr>
          <w:p>
            <w:pPr>
              <w:jc w:val="center"/>
              <w:rPr>
                <w:rFonts w:ascii="宋体" w:hAnsi="宋体" w:eastAsia="宋体" w:cs="宋体"/>
                <w:sz w:val="24"/>
                <w:szCs w:val="24"/>
              </w:rPr>
            </w:pPr>
            <w:r>
              <w:rPr>
                <w:rFonts w:hint="eastAsia" w:ascii="宋体" w:hAnsi="宋体" w:eastAsia="宋体" w:cs="宋体"/>
                <w:sz w:val="24"/>
                <w:szCs w:val="24"/>
              </w:rPr>
              <w:t>气瓶小车</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9</w:t>
            </w:r>
          </w:p>
        </w:tc>
        <w:tc>
          <w:tcPr>
            <w:tcW w:w="1926" w:type="dxa"/>
          </w:tcPr>
          <w:p>
            <w:pPr>
              <w:jc w:val="center"/>
              <w:rPr>
                <w:rFonts w:ascii="宋体" w:hAnsi="宋体" w:eastAsia="宋体" w:cs="宋体"/>
                <w:color w:val="000000"/>
                <w:sz w:val="24"/>
                <w:szCs w:val="24"/>
              </w:rPr>
            </w:pPr>
            <w:r>
              <w:rPr>
                <w:rFonts w:hint="eastAsia" w:ascii="宋体" w:hAnsi="宋体" w:eastAsia="宋体" w:cs="宋体"/>
                <w:sz w:val="24"/>
                <w:szCs w:val="24"/>
              </w:rPr>
              <w:t>备品备件</w:t>
            </w:r>
            <w:r>
              <w:rPr>
                <w:rFonts w:ascii="宋体" w:hAnsi="宋体" w:eastAsia="宋体" w:cs="宋体"/>
                <w:sz w:val="24"/>
                <w:szCs w:val="24"/>
              </w:rPr>
              <w:t>(不低于总价5%，</w:t>
            </w:r>
            <w:r>
              <w:rPr>
                <w:rFonts w:hint="eastAsia" w:ascii="宋体" w:hAnsi="宋体" w:eastAsia="宋体" w:cs="宋体"/>
                <w:sz w:val="24"/>
                <w:szCs w:val="24"/>
              </w:rPr>
              <w:t>含支撑600个工作日使用的耗材</w:t>
            </w:r>
            <w:r>
              <w:rPr>
                <w:rFonts w:ascii="宋体" w:hAnsi="宋体" w:eastAsia="宋体" w:cs="宋体"/>
                <w:sz w:val="24"/>
                <w:szCs w:val="24"/>
              </w:rPr>
              <w:t>)</w:t>
            </w:r>
          </w:p>
        </w:tc>
        <w:tc>
          <w:tcPr>
            <w:tcW w:w="3552"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宗</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10</w:t>
            </w:r>
          </w:p>
        </w:tc>
        <w:tc>
          <w:tcPr>
            <w:tcW w:w="1926"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培训</w:t>
            </w:r>
          </w:p>
        </w:tc>
        <w:tc>
          <w:tcPr>
            <w:tcW w:w="3552" w:type="dxa"/>
            <w:vAlign w:val="center"/>
          </w:tcPr>
          <w:p>
            <w:pPr>
              <w:spacing w:line="360" w:lineRule="exact"/>
              <w:jc w:val="center"/>
              <w:rPr>
                <w:rFonts w:ascii="宋体" w:hAnsi="宋体" w:eastAsia="宋体" w:cs="宋体"/>
                <w:sz w:val="24"/>
                <w:szCs w:val="24"/>
              </w:rPr>
            </w:pPr>
          </w:p>
        </w:tc>
        <w:tc>
          <w:tcPr>
            <w:tcW w:w="1513" w:type="dxa"/>
            <w:vAlign w:val="center"/>
          </w:tcPr>
          <w:p>
            <w:pPr>
              <w:spacing w:line="360" w:lineRule="exact"/>
              <w:jc w:val="center"/>
              <w:rPr>
                <w:rFonts w:ascii="宋体" w:hAnsi="宋体" w:eastAsia="宋体" w:cs="宋体"/>
                <w:sz w:val="24"/>
                <w:szCs w:val="24"/>
              </w:rPr>
            </w:pPr>
          </w:p>
        </w:tc>
        <w:tc>
          <w:tcPr>
            <w:tcW w:w="1105" w:type="dxa"/>
            <w:vAlign w:val="center"/>
          </w:tcPr>
          <w:p>
            <w:pPr>
              <w:spacing w:line="360" w:lineRule="exact"/>
              <w:jc w:val="center"/>
              <w:rPr>
                <w:rFonts w:ascii="宋体" w:hAnsi="宋体" w:eastAsia="宋体" w:cs="宋体"/>
                <w:sz w:val="24"/>
                <w:szCs w:val="24"/>
              </w:rPr>
            </w:pP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16"/>
        <w:spacing w:line="240" w:lineRule="auto"/>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主要器件品牌表</w:t>
      </w:r>
      <w:r>
        <w:rPr>
          <w:rFonts w:hint="eastAsia" w:hAnsi="宋体" w:eastAsia="宋体" w:cs="宋体"/>
          <w:bCs/>
          <w:sz w:val="24"/>
          <w:szCs w:val="24"/>
        </w:rPr>
        <w:t>（可选同等或更优质量品牌）</w:t>
      </w:r>
    </w:p>
    <w:p>
      <w:pPr>
        <w:pStyle w:val="16"/>
        <w:spacing w:line="240" w:lineRule="auto"/>
        <w:rPr>
          <w:rFonts w:hint="eastAsia" w:ascii="宋体" w:hAnsi="宋体" w:eastAsia="宋体" w:cs="宋体"/>
          <w:bCs/>
          <w:sz w:val="24"/>
          <w:szCs w:val="24"/>
          <w:highlight w:val="red"/>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序号</w:t>
            </w:r>
          </w:p>
        </w:tc>
        <w:tc>
          <w:tcPr>
            <w:tcW w:w="283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器件名称</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283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激光器或干涉仪</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国际一流品牌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283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sz w:val="24"/>
                <w:szCs w:val="24"/>
              </w:rPr>
              <w:t>线性化检查器</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国际一流品牌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3</w:t>
            </w:r>
          </w:p>
        </w:tc>
        <w:tc>
          <w:tcPr>
            <w:tcW w:w="2835" w:type="dxa"/>
          </w:tcPr>
          <w:p>
            <w:pPr>
              <w:spacing w:line="420" w:lineRule="exact"/>
              <w:jc w:val="center"/>
              <w:rPr>
                <w:rFonts w:ascii="宋体" w:hAnsi="宋体" w:eastAsia="宋体" w:cs="宋体"/>
                <w:sz w:val="24"/>
                <w:szCs w:val="24"/>
              </w:rPr>
            </w:pPr>
            <w:r>
              <w:rPr>
                <w:rFonts w:hint="eastAsia" w:ascii="宋体" w:hAnsi="宋体" w:eastAsia="宋体" w:cs="宋体"/>
                <w:sz w:val="24"/>
                <w:szCs w:val="24"/>
              </w:rPr>
              <w:t>气瓶调压减压阀</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国际一流品牌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p>
        </w:tc>
      </w:tr>
    </w:tbl>
    <w:p>
      <w:pPr>
        <w:pStyle w:val="16"/>
        <w:rPr>
          <w:rFonts w:hAnsi="宋体" w:eastAsia="宋体" w:cs="宋体"/>
          <w:bCs/>
          <w:sz w:val="24"/>
          <w:szCs w:val="24"/>
          <w:highlight w:val="red"/>
        </w:rPr>
      </w:pP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widowControl/>
        <w:jc w:val="left"/>
      </w:pPr>
      <w:r>
        <w:br w:type="page"/>
      </w:r>
    </w:p>
    <w:p>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pPr>
        <w:pStyle w:val="112"/>
        <w:spacing w:line="360" w:lineRule="auto"/>
        <w:ind w:firstLine="482" w:firstLineChars="200"/>
        <w:outlineLvl w:val="2"/>
        <w:rPr>
          <w:rFonts w:hint="eastAsia" w:ascii="宋体" w:hAnsi="宋体" w:eastAsia="宋体" w:cs="宋体"/>
          <w:b/>
          <w:bCs w:val="0"/>
          <w:sz w:val="24"/>
          <w:szCs w:val="24"/>
        </w:rPr>
      </w:pPr>
      <w:r>
        <w:rPr>
          <w:rFonts w:hint="eastAsia" w:ascii="宋体" w:hAnsi="宋体" w:eastAsia="宋体" w:cs="宋体"/>
          <w:b/>
          <w:bCs w:val="0"/>
          <w:sz w:val="24"/>
          <w:szCs w:val="24"/>
        </w:rPr>
        <w:t>三、技术要求</w:t>
      </w:r>
    </w:p>
    <w:p>
      <w:pPr>
        <w:pStyle w:val="112"/>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1 用途</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此NH3分析仪依据招标书第二章技术要求执行标准中对于氨泄漏测量设备要求，拟购置3台NH3分析仪。</w:t>
      </w:r>
    </w:p>
    <w:p>
      <w:pPr>
        <w:pStyle w:val="112"/>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 技术规格（带★</w:t>
      </w:r>
      <w:r>
        <w:rPr>
          <w:rFonts w:hint="eastAsia" w:ascii="宋体" w:hAnsi="宋体" w:eastAsia="宋体" w:cs="宋体"/>
          <w:b/>
          <w:bCs/>
          <w:color w:val="000000"/>
          <w:sz w:val="24"/>
          <w:szCs w:val="24"/>
        </w:rPr>
        <w:t>的项目为淘汰项目，如有一项不能满足即淘汰；其余项目为一般项目。</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★2.1试验室分析仪测量原理为FTIR或LDS，设备应包括分析仪，采样及预处理系统，软件及与主控电脑等；设备具有加热过滤器、加热采样管、标定、自动吹扫、采样口通距气、CAN-bus通讯、AK协议通讯等功能</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★2.2氨测量不允许使用气体干燥器</w:t>
      </w:r>
      <w:r>
        <w:rPr>
          <w:rFonts w:hint="eastAsia" w:ascii="宋体" w:hAnsi="宋体" w:eastAsia="宋体" w:cs="宋体"/>
          <w:sz w:val="24"/>
          <w:szCs w:val="24"/>
          <w:lang w:eastAsia="zh-CN"/>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★2.3分析仪应采用部分流取样方式。加热采样单元：适用于柴油机排放的样气采样。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a. 采样管线应采用（采样线，预过滤器和阀门）不锈钢或PTFE和须加热至190 ± 10 ℃，取样管要装过滤器，直经大于0.3μm的微粒过滤效率为99%。</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b. 取样管总长度不少于6米（加热管线不少于5.5米，不锈钢取样探头不小于0.5米），配前置过滤器1只，过滤器满足后处理前采样高背压60kPa要求。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c. 系统如果需要吹扫气，须配置吹扫气生成器，去除压缩空气中CO2、H2O及颗粒物质，满足最大流量14l/min,处理后CO2浓度＜1ppm,H20&lt;1ppm。</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★2.4基本技术参数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在所有的测试条件下，分析仪应符合如下要求</w:t>
      </w:r>
    </w:p>
    <w:tbl>
      <w:tblPr>
        <w:tblStyle w:val="35"/>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935"/>
        <w:gridCol w:w="6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1050" w:type="pct"/>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类别</w:t>
            </w:r>
          </w:p>
        </w:tc>
        <w:tc>
          <w:tcPr>
            <w:tcW w:w="3508" w:type="pct"/>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jc w:val="center"/>
              <w:rPr>
                <w:rFonts w:ascii="宋体" w:hAnsi="宋体" w:eastAsia="宋体" w:cs="宋体"/>
                <w:sz w:val="24"/>
                <w:szCs w:val="24"/>
              </w:rPr>
            </w:pPr>
            <w:r>
              <w:rPr>
                <w:rFonts w:hint="eastAsia" w:ascii="宋体" w:hAnsi="宋体" w:eastAsia="宋体" w:cs="宋体"/>
                <w:sz w:val="24"/>
                <w:szCs w:val="24"/>
              </w:rPr>
              <w:t>1</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量程</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0 ... 2, 000 ppm或0 ... 1,500 ppm或0 ... 1,000 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精度</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&lt; 读数的2%或±0.3% 满量程，取较大者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检测极限</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&lt;1 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波长分辨率</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等于或优于0.5cm-1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5</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采样频率</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6</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干扰</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 满量程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7</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重复性</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≤±0.5% 满量程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8</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响应时间（t90）</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9</w:t>
            </w:r>
          </w:p>
        </w:tc>
        <w:tc>
          <w:tcPr>
            <w:tcW w:w="1050"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线性度</w:t>
            </w:r>
          </w:p>
        </w:tc>
        <w:tc>
          <w:tcPr>
            <w:tcW w:w="3508" w:type="pct"/>
            <w:shd w:val="clear" w:color="auto" w:fill="auto"/>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读数的2 %或 满量程1 %，二者取较小者</w:t>
            </w: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投标方应承诺配合发动机台架供应商完成由台架控制系统作为主控计算机来指令投标方的排放系统，完成本招标书要求的相关排放试验循环下排放测量和保证测量准确度并将测量数据反馈至台架主控电脑。投标方与发动机台架方承担同等责任。</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NH</w:t>
      </w:r>
      <w:r>
        <w:rPr>
          <w:rFonts w:hint="eastAsia" w:ascii="宋体" w:hAnsi="宋体" w:eastAsia="宋体" w:cs="宋体"/>
          <w:sz w:val="24"/>
          <w:szCs w:val="24"/>
          <w:vertAlign w:val="subscript"/>
        </w:rPr>
        <w:t>3</w:t>
      </w:r>
      <w:r>
        <w:rPr>
          <w:rFonts w:hint="eastAsia" w:ascii="宋体" w:hAnsi="宋体" w:eastAsia="宋体" w:cs="宋体"/>
          <w:sz w:val="24"/>
          <w:szCs w:val="24"/>
        </w:rPr>
        <w:t>分析仪放置在独立的机柜内，由一台工业控制计算机及软件控制，并带有触摸显示监控及键盘等,独立的取样系统(泵、阀和管路等)。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★2.7线性化检查器总体要求满足国六标准相关要求，进行标定的基准点不少于11 个。线性化检查应按照内部检验程序、设备供应商推荐规范或GB/T19001要求进行。</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2.8设备移动用减震小车（可选用国产）。</w:t>
      </w:r>
    </w:p>
    <w:p>
      <w:pPr>
        <w:pStyle w:val="2"/>
        <w:ind w:firstLine="480"/>
        <w:rPr>
          <w:rFonts w:ascii="宋体" w:hAnsi="宋体" w:cs="宋体"/>
          <w:szCs w:val="24"/>
        </w:rPr>
      </w:pPr>
      <w:r>
        <w:rPr>
          <w:rFonts w:hint="eastAsia" w:ascii="宋体" w:hAnsi="宋体" w:cs="宋体"/>
          <w:b w:val="0"/>
          <w:szCs w:val="24"/>
        </w:rPr>
        <w:t>实现NH3分析仪试验室内移动使用，并配备绑带，带减震装置防止移动过程中因振动对分析仪造成的损坏，小车车轮中心距离地面高度3-8cm，小车平台距离地面高度适宜人员操作设备。小车配备压缩空气处理单元（带除油、除水装置）。双级除油、除水过滤器，处理后的压缩空气含油水量≤0.1mg/m3, 直经大于5μm的微粒过滤效率为99%。</w:t>
      </w:r>
    </w:p>
    <w:p>
      <w:pPr>
        <w:pStyle w:val="2"/>
        <w:ind w:firstLine="482" w:firstLineChars="200"/>
        <w:rPr>
          <w:rFonts w:ascii="宋体" w:hAnsi="宋体" w:cs="宋体"/>
          <w:szCs w:val="24"/>
        </w:rPr>
      </w:pPr>
      <w:r>
        <w:rPr>
          <w:rFonts w:hint="eastAsia" w:ascii="宋体" w:hAnsi="宋体" w:cs="宋体"/>
          <w:szCs w:val="24"/>
        </w:rPr>
        <w:t>2.9气瓶小车（可选用国产）</w:t>
      </w:r>
    </w:p>
    <w:p>
      <w:pPr>
        <w:pStyle w:val="2"/>
        <w:ind w:firstLine="480"/>
        <w:rPr>
          <w:rFonts w:ascii="宋体" w:hAnsi="宋体" w:cs="宋体"/>
          <w:bCs w:val="0"/>
          <w:szCs w:val="24"/>
        </w:rPr>
      </w:pPr>
      <w:r>
        <w:rPr>
          <w:rFonts w:hint="eastAsia" w:ascii="宋体" w:hAnsi="宋体" w:cs="宋体"/>
          <w:b w:val="0"/>
          <w:bCs w:val="0"/>
          <w:szCs w:val="24"/>
        </w:rPr>
        <w:t>配备至少三个8L气瓶固定位、防倾倒措施及调压减压阀（进口品牌）、气瓶管路，减压阀后管路和分析仪之间应有SWAGELOK快接连接。</w:t>
      </w:r>
    </w:p>
    <w:p>
      <w:pPr>
        <w:tabs>
          <w:tab w:val="left" w:pos="425"/>
        </w:tabs>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2.10设备主控单元及标定单元：</w:t>
      </w:r>
      <w:r>
        <w:rPr>
          <w:rFonts w:hint="eastAsia" w:ascii="宋体" w:hAnsi="宋体" w:eastAsia="宋体" w:cs="宋体"/>
          <w:sz w:val="24"/>
          <w:szCs w:val="24"/>
        </w:rPr>
        <w:t>中央处理器Intel Core i7或同等级处理器，内存16 GB DDR，不小于13寸的显示器；Microsoft Windows系统预装分析仪控制系统，鼠标、键盘、控制面板控制。</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 必备的附件、备件和专用工具(不低于总价5%)</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每台分析仪提供一份常用备件、专用工具（如需）及可供两年（按每台支撑</w:t>
      </w:r>
      <w:r>
        <w:rPr>
          <w:rFonts w:ascii="宋体" w:hAnsi="宋体" w:eastAsia="宋体" w:cs="宋体"/>
          <w:sz w:val="24"/>
          <w:szCs w:val="24"/>
        </w:rPr>
        <w:t>600个工作日使用</w:t>
      </w:r>
      <w:r>
        <w:rPr>
          <w:rFonts w:hint="eastAsia" w:ascii="宋体" w:hAnsi="宋体" w:eastAsia="宋体" w:cs="宋体"/>
          <w:sz w:val="24"/>
          <w:szCs w:val="24"/>
        </w:rPr>
        <w:t>）用的耗材，并提供备件清单含价格供招标方选择替换。</w:t>
      </w:r>
    </w:p>
    <w:p>
      <w:pPr>
        <w:pStyle w:val="112"/>
        <w:spacing w:line="360" w:lineRule="auto"/>
        <w:ind w:firstLine="482" w:firstLineChars="200"/>
        <w:rPr>
          <w:rFonts w:eastAsia="宋体" w:cs="宋体"/>
          <w:b/>
          <w:bCs w:val="0"/>
          <w:sz w:val="24"/>
          <w:szCs w:val="24"/>
        </w:rPr>
      </w:pPr>
      <w:r>
        <w:rPr>
          <w:rFonts w:hint="eastAsia" w:eastAsia="宋体" w:cs="宋体"/>
          <w:b/>
          <w:sz w:val="24"/>
          <w:szCs w:val="24"/>
        </w:rPr>
        <w:t>4.保养、维修、使用方便性要求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卖方提供保养、维修、使用的说明，买方确认。</w:t>
      </w:r>
    </w:p>
    <w:p>
      <w:pPr>
        <w:pStyle w:val="112"/>
        <w:spacing w:line="360" w:lineRule="auto"/>
        <w:ind w:firstLine="482" w:firstLineChars="200"/>
        <w:rPr>
          <w:rFonts w:eastAsia="宋体" w:cs="宋体"/>
          <w:b/>
          <w:bCs w:val="0"/>
          <w:sz w:val="24"/>
          <w:szCs w:val="24"/>
        </w:rPr>
      </w:pPr>
      <w:r>
        <w:rPr>
          <w:rFonts w:hint="eastAsia" w:eastAsia="宋体" w:cs="宋体"/>
          <w:b/>
          <w:sz w:val="24"/>
          <w:szCs w:val="24"/>
        </w:rPr>
        <w:t>5.安全防护、环境保护、节能要求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必须符合中国有关标准要求。</w:t>
      </w:r>
    </w:p>
    <w:p>
      <w:pPr>
        <w:pStyle w:val="112"/>
        <w:spacing w:line="360" w:lineRule="auto"/>
        <w:ind w:firstLine="482" w:firstLineChars="200"/>
        <w:rPr>
          <w:rFonts w:eastAsia="宋体" w:cs="宋体"/>
          <w:b/>
          <w:sz w:val="24"/>
          <w:szCs w:val="24"/>
        </w:rPr>
      </w:pPr>
      <w:r>
        <w:rPr>
          <w:rFonts w:hint="eastAsia" w:eastAsia="宋体" w:cs="宋体"/>
          <w:b/>
          <w:sz w:val="24"/>
          <w:szCs w:val="24"/>
        </w:rPr>
        <w:t>6.其它要求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本项目涉及的所有设备通讯协议需在技术方案评审时一并免费提交给招标方，并协助招标方开展设备集成工作。</w:t>
      </w:r>
      <w:r>
        <w:rPr>
          <w:rFonts w:hint="eastAsia" w:ascii="宋体" w:hAnsi="宋体" w:eastAsia="宋体" w:cs="宋体"/>
          <w:sz w:val="24"/>
          <w:szCs w:val="24"/>
        </w:rPr>
        <w:br w:type="textWrapping"/>
      </w:r>
      <w:r>
        <w:rPr>
          <w:rFonts w:hint="eastAsia" w:ascii="宋体" w:hAnsi="宋体" w:eastAsia="宋体" w:cs="宋体"/>
          <w:sz w:val="24"/>
          <w:szCs w:val="24"/>
        </w:rPr>
        <w:t xml:space="preserve">    各单元原理图、电路图、程序框图、技术规格和指标、接口协议、各部件型号和参数清单在协议签订2个月内提供。</w:t>
      </w:r>
      <w:r>
        <w:rPr>
          <w:rFonts w:hint="eastAsia" w:ascii="宋体" w:hAnsi="宋体" w:eastAsia="宋体" w:cs="宋体"/>
          <w:sz w:val="24"/>
          <w:szCs w:val="24"/>
        </w:rPr>
        <w:br w:type="textWrapping"/>
      </w:r>
      <w:r>
        <w:rPr>
          <w:rFonts w:hint="eastAsia" w:ascii="宋体" w:hAnsi="宋体" w:eastAsia="宋体" w:cs="宋体"/>
          <w:sz w:val="24"/>
          <w:szCs w:val="24"/>
        </w:rPr>
        <w:t xml:space="preserve">    需明确远程控制策略，如需单独的远程控制软件，需提供</w:t>
      </w:r>
      <w:r>
        <w:rPr>
          <w:rFonts w:hint="eastAsia" w:ascii="宋体" w:hAnsi="宋体" w:eastAsia="宋体" w:cs="宋体"/>
          <w:sz w:val="24"/>
          <w:szCs w:val="24"/>
          <w:lang w:eastAsia="zh-CN"/>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5877"/>
        <w:gridCol w:w="1985"/>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5877"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标准名称</w:t>
            </w:r>
          </w:p>
        </w:tc>
        <w:tc>
          <w:tcPr>
            <w:tcW w:w="198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标准编号</w:t>
            </w:r>
          </w:p>
        </w:tc>
        <w:tc>
          <w:tcPr>
            <w:tcW w:w="95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6" w:type="dxa"/>
            <w:gridSpan w:val="4"/>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设备应符合的安全、环保标准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1</w:t>
            </w:r>
          </w:p>
        </w:tc>
        <w:tc>
          <w:tcPr>
            <w:tcW w:w="5877" w:type="dxa"/>
            <w:vAlign w:val="center"/>
          </w:tcPr>
          <w:p>
            <w:pPr>
              <w:rPr>
                <w:rFonts w:ascii="宋体" w:hAnsi="宋体" w:eastAsia="宋体" w:cs="宋体"/>
                <w:color w:val="000000"/>
                <w:sz w:val="24"/>
                <w:szCs w:val="24"/>
              </w:rPr>
            </w:pPr>
            <w:r>
              <w:rPr>
                <w:rFonts w:hint="eastAsia" w:ascii="宋体" w:hAnsi="宋体" w:eastAsia="宋体" w:cs="宋体"/>
                <w:color w:val="000000"/>
                <w:sz w:val="24"/>
                <w:szCs w:val="24"/>
              </w:rPr>
              <w:t>卖方提供企业标准</w:t>
            </w:r>
          </w:p>
        </w:tc>
        <w:tc>
          <w:tcPr>
            <w:tcW w:w="1985" w:type="dxa"/>
            <w:vAlign w:val="center"/>
          </w:tcPr>
          <w:p>
            <w:pPr>
              <w:jc w:val="center"/>
              <w:rPr>
                <w:rFonts w:ascii="宋体" w:hAnsi="宋体" w:eastAsia="宋体" w:cs="宋体"/>
                <w:color w:val="000000"/>
                <w:sz w:val="24"/>
                <w:szCs w:val="24"/>
              </w:rPr>
            </w:pPr>
          </w:p>
        </w:tc>
        <w:tc>
          <w:tcPr>
            <w:tcW w:w="95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投标人提供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5877" w:type="dxa"/>
            <w:vAlign w:val="center"/>
          </w:tcPr>
          <w:p>
            <w:pPr>
              <w:rPr>
                <w:rFonts w:ascii="宋体" w:hAnsi="宋体" w:eastAsia="宋体" w:cs="宋体"/>
                <w:color w:val="000000"/>
                <w:sz w:val="24"/>
                <w:szCs w:val="24"/>
              </w:rPr>
            </w:pPr>
            <w:r>
              <w:rPr>
                <w:rFonts w:hint="eastAsia" w:ascii="宋体" w:hAnsi="宋体" w:eastAsia="宋体" w:cs="宋体"/>
                <w:color w:val="000000"/>
                <w:sz w:val="24"/>
                <w:szCs w:val="24"/>
              </w:rPr>
              <w:t>卖方提供与设备安全和环保相关的中国、国际通用和制造国的标准</w:t>
            </w:r>
          </w:p>
        </w:tc>
        <w:tc>
          <w:tcPr>
            <w:tcW w:w="1985" w:type="dxa"/>
            <w:vAlign w:val="center"/>
          </w:tcPr>
          <w:p>
            <w:pPr>
              <w:jc w:val="center"/>
              <w:rPr>
                <w:rFonts w:ascii="宋体" w:hAnsi="宋体" w:eastAsia="宋体" w:cs="宋体"/>
                <w:color w:val="000000"/>
                <w:sz w:val="24"/>
                <w:szCs w:val="24"/>
              </w:rPr>
            </w:pPr>
          </w:p>
        </w:tc>
        <w:tc>
          <w:tcPr>
            <w:tcW w:w="956"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投标人提供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6" w:type="dxa"/>
            <w:gridSpan w:val="4"/>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设备使用时应符合的环境噪声标准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5877" w:type="dxa"/>
            <w:vAlign w:val="center"/>
          </w:tcPr>
          <w:p>
            <w:pPr>
              <w:rPr>
                <w:rFonts w:ascii="宋体" w:hAnsi="宋体" w:eastAsia="宋体" w:cs="宋体"/>
                <w:color w:val="000000"/>
                <w:sz w:val="24"/>
                <w:szCs w:val="24"/>
              </w:rPr>
            </w:pPr>
            <w:r>
              <w:rPr>
                <w:rFonts w:ascii="宋体" w:hAnsi="宋体" w:eastAsia="宋体" w:cs="宋体"/>
                <w:color w:val="000000"/>
                <w:sz w:val="24"/>
                <w:szCs w:val="24"/>
              </w:rPr>
              <w:t>城市区域环境噪声标准</w:t>
            </w:r>
          </w:p>
        </w:tc>
        <w:tc>
          <w:tcPr>
            <w:tcW w:w="1985" w:type="dxa"/>
            <w:vAlign w:val="center"/>
          </w:tcPr>
          <w:p>
            <w:pPr>
              <w:autoSpaceDE w:val="0"/>
              <w:autoSpaceDN w:val="0"/>
              <w:adjustRightInd w:val="0"/>
              <w:jc w:val="center"/>
              <w:rPr>
                <w:rFonts w:ascii="宋体" w:hAnsi="宋体" w:eastAsia="宋体" w:cs="宋体"/>
                <w:color w:val="000000"/>
                <w:sz w:val="24"/>
                <w:szCs w:val="24"/>
              </w:rPr>
            </w:pPr>
            <w:r>
              <w:rPr>
                <w:rFonts w:ascii="宋体" w:hAnsi="宋体" w:eastAsia="宋体" w:cs="宋体"/>
                <w:color w:val="000000"/>
                <w:sz w:val="24"/>
                <w:szCs w:val="24"/>
              </w:rPr>
              <w:t>GB 3096-2008</w:t>
            </w:r>
          </w:p>
        </w:tc>
        <w:tc>
          <w:tcPr>
            <w:tcW w:w="956" w:type="dxa"/>
            <w:vAlign w:val="center"/>
          </w:tcPr>
          <w:p>
            <w:pPr>
              <w:autoSpaceDE w:val="0"/>
              <w:autoSpaceDN w:val="0"/>
              <w:adjustRightInd w:val="0"/>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6" w:type="dxa"/>
            <w:gridSpan w:val="4"/>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设备应符合和完成相关试验标准和循环的标准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5877" w:type="dxa"/>
            <w:vAlign w:val="center"/>
          </w:tcPr>
          <w:p>
            <w:pPr>
              <w:autoSpaceDE w:val="0"/>
              <w:autoSpaceDN w:val="0"/>
              <w:adjustRightInd w:val="0"/>
              <w:rPr>
                <w:rFonts w:ascii="宋体" w:hAnsi="宋体" w:eastAsia="宋体" w:cs="宋体"/>
                <w:color w:val="000000"/>
                <w:sz w:val="24"/>
                <w:szCs w:val="24"/>
              </w:rPr>
            </w:pPr>
            <w:r>
              <w:rPr>
                <w:rFonts w:hint="eastAsia" w:ascii="宋体" w:hAnsi="宋体" w:eastAsia="宋体" w:cs="宋体"/>
                <w:color w:val="000000"/>
                <w:sz w:val="24"/>
                <w:szCs w:val="24"/>
              </w:rPr>
              <w:t>压燃式发动机和气体燃料点燃式发动机排气污染物测量</w:t>
            </w:r>
            <w:r>
              <w:rPr>
                <w:rFonts w:ascii="宋体" w:hAnsi="宋体" w:eastAsia="宋体" w:cs="宋体"/>
                <w:color w:val="000000"/>
                <w:sz w:val="24"/>
                <w:szCs w:val="24"/>
              </w:rPr>
              <w:t xml:space="preserve"> </w:t>
            </w:r>
          </w:p>
        </w:tc>
        <w:tc>
          <w:tcPr>
            <w:tcW w:w="198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2005/55/EC 2005/78/EC</w:t>
            </w:r>
          </w:p>
          <w:p>
            <w:pPr>
              <w:jc w:val="center"/>
              <w:rPr>
                <w:rFonts w:ascii="宋体" w:hAnsi="宋体" w:eastAsia="宋体" w:cs="宋体"/>
                <w:color w:val="000000"/>
                <w:sz w:val="24"/>
                <w:szCs w:val="24"/>
              </w:rPr>
            </w:pPr>
            <w:r>
              <w:rPr>
                <w:rFonts w:ascii="宋体" w:hAnsi="宋体" w:eastAsia="宋体" w:cs="宋体"/>
                <w:color w:val="000000"/>
                <w:sz w:val="24"/>
                <w:szCs w:val="24"/>
              </w:rPr>
              <w:t xml:space="preserve">GB 17691-2005及修订页，GB 17691-2018 </w:t>
            </w:r>
          </w:p>
          <w:p>
            <w:pPr>
              <w:jc w:val="center"/>
              <w:rPr>
                <w:rFonts w:ascii="宋体" w:hAnsi="宋体" w:eastAsia="宋体" w:cs="宋体"/>
                <w:color w:val="000000"/>
                <w:sz w:val="24"/>
                <w:szCs w:val="24"/>
              </w:rPr>
            </w:pPr>
            <w:r>
              <w:rPr>
                <w:rFonts w:ascii="宋体" w:hAnsi="宋体" w:eastAsia="宋体" w:cs="宋体"/>
                <w:color w:val="000000"/>
                <w:sz w:val="24"/>
                <w:szCs w:val="24"/>
              </w:rPr>
              <w:t>ECE R49 R6</w:t>
            </w:r>
          </w:p>
        </w:tc>
        <w:tc>
          <w:tcPr>
            <w:tcW w:w="956" w:type="dxa"/>
            <w:vAlign w:val="center"/>
          </w:tcPr>
          <w:p>
            <w:pPr>
              <w:autoSpaceDE w:val="0"/>
              <w:autoSpaceDN w:val="0"/>
              <w:adjustRightInd w:val="0"/>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5</w:t>
            </w:r>
          </w:p>
        </w:tc>
        <w:tc>
          <w:tcPr>
            <w:tcW w:w="5877" w:type="dxa"/>
            <w:vAlign w:val="center"/>
          </w:tcPr>
          <w:p>
            <w:pPr>
              <w:rPr>
                <w:rFonts w:ascii="宋体" w:hAnsi="宋体" w:eastAsia="宋体" w:cs="宋体"/>
                <w:color w:val="000000"/>
                <w:sz w:val="24"/>
                <w:szCs w:val="24"/>
              </w:rPr>
            </w:pPr>
            <w:r>
              <w:rPr>
                <w:rFonts w:hint="eastAsia" w:ascii="宋体" w:hAnsi="宋体" w:eastAsia="宋体" w:cs="宋体"/>
                <w:color w:val="000000"/>
                <w:sz w:val="24"/>
                <w:szCs w:val="24"/>
              </w:rPr>
              <w:t>全球统一的重型发动机认证规程（</w:t>
            </w:r>
            <w:r>
              <w:rPr>
                <w:rFonts w:ascii="宋体" w:hAnsi="宋体" w:eastAsia="宋体" w:cs="宋体"/>
                <w:color w:val="000000"/>
                <w:sz w:val="24"/>
                <w:szCs w:val="24"/>
              </w:rPr>
              <w:t>WHDC）</w:t>
            </w:r>
          </w:p>
        </w:tc>
        <w:tc>
          <w:tcPr>
            <w:tcW w:w="198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GTR NO.4</w:t>
            </w:r>
          </w:p>
        </w:tc>
        <w:tc>
          <w:tcPr>
            <w:tcW w:w="956" w:type="dxa"/>
            <w:vAlign w:val="center"/>
          </w:tcPr>
          <w:p>
            <w:pPr>
              <w:autoSpaceDE w:val="0"/>
              <w:autoSpaceDN w:val="0"/>
              <w:adjustRightInd w:val="0"/>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6</w:t>
            </w:r>
          </w:p>
        </w:tc>
        <w:tc>
          <w:tcPr>
            <w:tcW w:w="5877" w:type="dxa"/>
            <w:vAlign w:val="center"/>
          </w:tcPr>
          <w:p>
            <w:pPr>
              <w:rPr>
                <w:rFonts w:ascii="宋体" w:hAnsi="宋体" w:eastAsia="宋体" w:cs="宋体"/>
                <w:color w:val="000000"/>
                <w:sz w:val="24"/>
                <w:szCs w:val="24"/>
              </w:rPr>
            </w:pPr>
            <w:r>
              <w:rPr>
                <w:rFonts w:hint="eastAsia" w:ascii="宋体" w:hAnsi="宋体" w:eastAsia="宋体" w:cs="宋体"/>
                <w:color w:val="000000"/>
                <w:sz w:val="24"/>
                <w:szCs w:val="24"/>
              </w:rPr>
              <w:t>往复式内燃机</w:t>
            </w:r>
            <w:r>
              <w:rPr>
                <w:rFonts w:ascii="宋体" w:hAnsi="宋体" w:eastAsia="宋体" w:cs="宋体"/>
                <w:color w:val="000000"/>
                <w:sz w:val="24"/>
                <w:szCs w:val="24"/>
              </w:rPr>
              <w:t xml:space="preserve"> </w:t>
            </w:r>
            <w:r>
              <w:rPr>
                <w:rFonts w:hint="eastAsia" w:ascii="宋体" w:hAnsi="宋体" w:eastAsia="宋体" w:cs="宋体"/>
                <w:color w:val="000000"/>
                <w:sz w:val="24"/>
                <w:szCs w:val="24"/>
              </w:rPr>
              <w:t>排放测量</w:t>
            </w:r>
            <w:r>
              <w:rPr>
                <w:rFonts w:ascii="宋体" w:hAnsi="宋体" w:eastAsia="宋体" w:cs="宋体"/>
                <w:color w:val="000000"/>
                <w:sz w:val="24"/>
                <w:szCs w:val="24"/>
              </w:rPr>
              <w:t xml:space="preserve"> </w:t>
            </w:r>
            <w:r>
              <w:rPr>
                <w:rFonts w:hint="eastAsia" w:ascii="宋体" w:hAnsi="宋体" w:eastAsia="宋体" w:cs="宋体"/>
                <w:color w:val="000000"/>
                <w:sz w:val="24"/>
                <w:szCs w:val="24"/>
              </w:rPr>
              <w:t>第</w:t>
            </w:r>
            <w:r>
              <w:rPr>
                <w:rFonts w:ascii="宋体" w:hAnsi="宋体" w:eastAsia="宋体" w:cs="宋体"/>
                <w:color w:val="000000"/>
                <w:sz w:val="24"/>
                <w:szCs w:val="24"/>
              </w:rPr>
              <w:t>4部分:不同用途发动机的试验循环</w:t>
            </w:r>
          </w:p>
        </w:tc>
        <w:tc>
          <w:tcPr>
            <w:tcW w:w="198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ISO 8178.4</w:t>
            </w:r>
          </w:p>
          <w:p>
            <w:pPr>
              <w:jc w:val="center"/>
              <w:rPr>
                <w:rFonts w:ascii="宋体" w:hAnsi="宋体" w:eastAsia="宋体" w:cs="宋体"/>
                <w:color w:val="000000"/>
                <w:sz w:val="24"/>
                <w:szCs w:val="24"/>
              </w:rPr>
            </w:pPr>
            <w:r>
              <w:rPr>
                <w:rFonts w:ascii="宋体" w:hAnsi="宋体" w:eastAsia="宋体" w:cs="宋体"/>
                <w:color w:val="000000"/>
                <w:sz w:val="24"/>
                <w:szCs w:val="24"/>
              </w:rPr>
              <w:t>GB/T 8190.4-1999</w:t>
            </w:r>
          </w:p>
        </w:tc>
        <w:tc>
          <w:tcPr>
            <w:tcW w:w="956" w:type="dxa"/>
            <w:vAlign w:val="center"/>
          </w:tcPr>
          <w:p>
            <w:pPr>
              <w:autoSpaceDE w:val="0"/>
              <w:autoSpaceDN w:val="0"/>
              <w:adjustRightInd w:val="0"/>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7</w:t>
            </w:r>
          </w:p>
        </w:tc>
        <w:tc>
          <w:tcPr>
            <w:tcW w:w="5877" w:type="dxa"/>
            <w:vAlign w:val="center"/>
          </w:tcPr>
          <w:p>
            <w:pPr>
              <w:rPr>
                <w:rFonts w:ascii="宋体" w:hAnsi="宋体" w:eastAsia="宋体" w:cs="宋体"/>
                <w:color w:val="000000"/>
                <w:sz w:val="24"/>
                <w:szCs w:val="24"/>
              </w:rPr>
            </w:pPr>
            <w:r>
              <w:rPr>
                <w:rFonts w:hint="eastAsia" w:ascii="宋体" w:hAnsi="宋体" w:eastAsia="宋体" w:cs="宋体"/>
                <w:color w:val="000000"/>
                <w:sz w:val="24"/>
                <w:szCs w:val="24"/>
              </w:rPr>
              <w:t>非道路移动机械用压燃式发动机和气体燃料点燃式发动机排气污染物测量（欧盟、中国和美国）</w:t>
            </w:r>
          </w:p>
        </w:tc>
        <w:tc>
          <w:tcPr>
            <w:tcW w:w="198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R96 R3</w:t>
            </w:r>
          </w:p>
          <w:p>
            <w:pPr>
              <w:jc w:val="center"/>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 xml:space="preserve"> EU）2017/654</w:t>
            </w:r>
          </w:p>
          <w:p>
            <w:pPr>
              <w:jc w:val="center"/>
              <w:rPr>
                <w:rFonts w:ascii="宋体" w:hAnsi="宋体" w:eastAsia="宋体" w:cs="宋体"/>
                <w:color w:val="000000"/>
                <w:sz w:val="24"/>
                <w:szCs w:val="24"/>
              </w:rPr>
            </w:pPr>
            <w:r>
              <w:rPr>
                <w:rFonts w:ascii="宋体" w:hAnsi="宋体" w:eastAsia="宋体" w:cs="宋体"/>
                <w:color w:val="000000"/>
                <w:sz w:val="24"/>
                <w:szCs w:val="24"/>
              </w:rPr>
              <w:t xml:space="preserve">GB 20891-2014及其修改单 </w:t>
            </w:r>
          </w:p>
          <w:p>
            <w:pPr>
              <w:jc w:val="center"/>
              <w:rPr>
                <w:rFonts w:ascii="宋体" w:hAnsi="宋体" w:eastAsia="宋体" w:cs="宋体"/>
                <w:color w:val="000000"/>
                <w:sz w:val="24"/>
                <w:szCs w:val="24"/>
              </w:rPr>
            </w:pPr>
            <w:r>
              <w:rPr>
                <w:rFonts w:ascii="宋体" w:hAnsi="宋体" w:eastAsia="宋体" w:cs="宋体"/>
                <w:color w:val="000000"/>
                <w:sz w:val="24"/>
                <w:szCs w:val="24"/>
              </w:rPr>
              <w:t>40 CFR PART 89</w:t>
            </w:r>
          </w:p>
          <w:p>
            <w:pPr>
              <w:jc w:val="center"/>
              <w:rPr>
                <w:rFonts w:ascii="宋体" w:hAnsi="宋体" w:eastAsia="宋体" w:cs="宋体"/>
                <w:color w:val="000000"/>
                <w:sz w:val="24"/>
                <w:szCs w:val="24"/>
              </w:rPr>
            </w:pPr>
            <w:r>
              <w:rPr>
                <w:rFonts w:ascii="宋体" w:hAnsi="宋体" w:eastAsia="宋体" w:cs="宋体"/>
                <w:color w:val="000000"/>
                <w:sz w:val="24"/>
                <w:szCs w:val="24"/>
              </w:rPr>
              <w:t>HJ1014-2020</w:t>
            </w:r>
          </w:p>
        </w:tc>
        <w:tc>
          <w:tcPr>
            <w:tcW w:w="956" w:type="dxa"/>
            <w:vAlign w:val="center"/>
          </w:tcPr>
          <w:p>
            <w:pPr>
              <w:autoSpaceDE w:val="0"/>
              <w:autoSpaceDN w:val="0"/>
              <w:adjustRightInd w:val="0"/>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bl>
    <w:p>
      <w:pPr>
        <w:rPr>
          <w:rFonts w:ascii="Times New Roman" w:hAnsi="Times New Roman" w:eastAsia="宋体" w:cs="Times New Roman"/>
          <w:szCs w:val="20"/>
        </w:rPr>
        <w:sectPr>
          <w:pgSz w:w="11906" w:h="16838"/>
          <w:pgMar w:top="1588" w:right="1418" w:bottom="1134" w:left="1418" w:header="851" w:footer="992" w:gutter="0"/>
          <w:cols w:space="425" w:num="1"/>
          <w:docGrid w:type="lines" w:linePitch="312" w:charSpace="0"/>
        </w:sect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none"/>
        </w:rPr>
        <w:t>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1</w:t>
            </w:r>
          </w:p>
        </w:tc>
        <w:tc>
          <w:tcPr>
            <w:tcW w:w="2977" w:type="dxa"/>
            <w:vAlign w:val="center"/>
          </w:tcPr>
          <w:p>
            <w:pPr>
              <w:pStyle w:val="124"/>
              <w:spacing w:before="60" w:after="60" w:line="240" w:lineRule="auto"/>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氨分析仪</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台</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2</w:t>
            </w:r>
          </w:p>
        </w:tc>
        <w:tc>
          <w:tcPr>
            <w:tcW w:w="2977"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线性化检查器</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台</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3</w:t>
            </w:r>
          </w:p>
        </w:tc>
        <w:tc>
          <w:tcPr>
            <w:tcW w:w="2977" w:type="dxa"/>
            <w:vAlign w:val="bottom"/>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前置过滤器</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个</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4</w:t>
            </w:r>
          </w:p>
        </w:tc>
        <w:tc>
          <w:tcPr>
            <w:tcW w:w="2977" w:type="dxa"/>
            <w:vAlign w:val="bottom"/>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采样热管</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根</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6</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5</w:t>
            </w:r>
          </w:p>
        </w:tc>
        <w:tc>
          <w:tcPr>
            <w:tcW w:w="2977" w:type="dxa"/>
            <w:vAlign w:val="bottom"/>
          </w:tcPr>
          <w:p>
            <w:pPr>
              <w:pStyle w:val="124"/>
              <w:spacing w:before="60" w:after="60" w:line="240" w:lineRule="auto"/>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采样探头</w:t>
            </w:r>
          </w:p>
        </w:tc>
        <w:tc>
          <w:tcPr>
            <w:tcW w:w="992" w:type="dxa"/>
            <w:vAlign w:val="center"/>
          </w:tcPr>
          <w:p>
            <w:pPr>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根</w:t>
            </w:r>
          </w:p>
        </w:tc>
        <w:tc>
          <w:tcPr>
            <w:tcW w:w="1134" w:type="dxa"/>
            <w:vAlign w:val="center"/>
          </w:tcPr>
          <w:p>
            <w:pPr>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6</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6</w:t>
            </w:r>
          </w:p>
        </w:tc>
        <w:tc>
          <w:tcPr>
            <w:tcW w:w="2977" w:type="dxa"/>
            <w:vAlign w:val="center"/>
          </w:tcPr>
          <w:p>
            <w:pPr>
              <w:pStyle w:val="124"/>
              <w:spacing w:before="60" w:after="60" w:line="240" w:lineRule="auto"/>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设备主控单元及标定单元</w:t>
            </w:r>
          </w:p>
        </w:tc>
        <w:tc>
          <w:tcPr>
            <w:tcW w:w="992" w:type="dxa"/>
            <w:vAlign w:val="center"/>
          </w:tcPr>
          <w:p>
            <w:pPr>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台</w:t>
            </w:r>
          </w:p>
        </w:tc>
        <w:tc>
          <w:tcPr>
            <w:tcW w:w="1134" w:type="dxa"/>
            <w:vAlign w:val="center"/>
          </w:tcPr>
          <w:p>
            <w:pPr>
              <w:jc w:val="center"/>
              <w:textAlignment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4</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7</w:t>
            </w:r>
          </w:p>
        </w:tc>
        <w:tc>
          <w:tcPr>
            <w:tcW w:w="2977"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设备用移动减震小车</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台</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8</w:t>
            </w:r>
          </w:p>
        </w:tc>
        <w:tc>
          <w:tcPr>
            <w:tcW w:w="2977" w:type="dxa"/>
            <w:vAlign w:val="bottom"/>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气瓶小车</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台</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2835" w:type="dxa"/>
            <w:vAlign w:val="center"/>
          </w:tcPr>
          <w:p>
            <w:pPr>
              <w:jc w:val="center"/>
              <w:textAlignment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9</w:t>
            </w:r>
          </w:p>
        </w:tc>
        <w:tc>
          <w:tcPr>
            <w:tcW w:w="2977" w:type="dxa"/>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备品备件(含支撑600个工作日使用的耗材)</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宗</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不低于总价5%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0</w:t>
            </w:r>
          </w:p>
        </w:tc>
        <w:tc>
          <w:tcPr>
            <w:tcW w:w="2977" w:type="dxa"/>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安装调试</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台</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3台设备，小于30个日历日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11</w:t>
            </w:r>
          </w:p>
        </w:tc>
        <w:tc>
          <w:tcPr>
            <w:tcW w:w="2977" w:type="dxa"/>
          </w:tcPr>
          <w:p>
            <w:pPr>
              <w:pStyle w:val="124"/>
              <w:spacing w:before="60" w:after="60" w:line="240" w:lineRule="auto"/>
              <w:jc w:val="center"/>
              <w:rPr>
                <w:rFonts w:ascii="宋体" w:hAnsi="宋体" w:eastAsia="宋体" w:cs="宋体"/>
                <w:sz w:val="24"/>
              </w:rPr>
            </w:pPr>
            <w:r>
              <w:rPr>
                <w:rFonts w:hint="eastAsia" w:ascii="宋体" w:hAnsi="宋体" w:eastAsia="宋体" w:cs="宋体"/>
                <w:sz w:val="24"/>
              </w:rPr>
              <w:t>培训</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学时</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24</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使用培训（重汽科技园）</w:t>
            </w:r>
          </w:p>
        </w:tc>
      </w:tr>
    </w:tbl>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济南市高新区华奥路777号重汽科技园区</w:t>
      </w:r>
      <w:r>
        <w:rPr>
          <w:rFonts w:hint="eastAsia" w:ascii="宋体" w:hAnsi="宋体" w:eastAsia="宋体" w:cs="宋体"/>
          <w:sz w:val="24"/>
          <w:szCs w:val="24"/>
        </w:rPr>
        <w:t>。</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u w:val="single"/>
          <w:lang w:val="en-US" w:eastAsia="zh-CN"/>
        </w:rPr>
        <w:t>240</w:t>
      </w:r>
      <w:r>
        <w:rPr>
          <w:rFonts w:hint="eastAsia" w:ascii="宋体" w:hAnsi="宋体" w:eastAsia="宋体" w:cs="宋体"/>
          <w:sz w:val="24"/>
          <w:szCs w:val="24"/>
        </w:rPr>
        <w:t>个日历日内，中标人须交付设备到招标人指定的安装和使用的现场，并保证整套测试系统正常进入试运行状态。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shd w:val="clear" w:color="auto" w:fill="FFFFFF"/>
          <w:lang w:val="en-US" w:eastAsia="zh-CN"/>
        </w:rPr>
        <w:t>50</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pPr>
        <w:spacing w:line="360" w:lineRule="auto"/>
        <w:ind w:firstLine="480" w:firstLineChars="200"/>
        <w:jc w:val="left"/>
        <w:rPr>
          <w:rFonts w:hint="eastAsia" w:ascii="宋体" w:hAnsi="宋体" w:eastAsia="宋体" w:cs="宋体"/>
          <w:color w:val="000000"/>
          <w:sz w:val="24"/>
          <w:szCs w:val="20"/>
        </w:rPr>
      </w:pPr>
      <w:r>
        <w:rPr>
          <w:rFonts w:hint="eastAsia" w:ascii="宋体" w:hAnsi="宋体" w:eastAsia="宋体" w:cs="宋体"/>
          <w:sz w:val="24"/>
          <w:szCs w:val="24"/>
        </w:rPr>
        <w:t>安装调试时间或终验收时间超过规定时间的，投标人应当随标书提供详细的工期计划</w:t>
      </w:r>
      <w:r>
        <w:rPr>
          <w:rFonts w:hint="eastAsia" w:ascii="宋体" w:hAnsi="宋体" w:eastAsia="宋体" w:cs="宋体"/>
          <w:color w:val="000000"/>
          <w:sz w:val="24"/>
          <w:szCs w:val="20"/>
        </w:rPr>
        <w:t>。</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p>
    <w:p>
      <w:pPr>
        <w:keepNext/>
        <w:keepLines/>
        <w:spacing w:line="360" w:lineRule="auto"/>
        <w:jc w:val="center"/>
        <w:outlineLvl w:val="1"/>
        <w:rPr>
          <w:rFonts w:hint="eastAsia" w:ascii="宋体" w:hAnsi="宋体" w:eastAsia="宋体" w:cs="宋体"/>
          <w:b/>
          <w:bCs/>
          <w:kern w:val="44"/>
          <w:sz w:val="24"/>
          <w:szCs w:val="24"/>
        </w:rPr>
      </w:pPr>
      <w:r>
        <w:rPr>
          <w:rFonts w:eastAsia="黑体"/>
          <w:bCs/>
          <w:color w:val="000000"/>
          <w:kern w:val="44"/>
          <w:sz w:val="36"/>
          <w:szCs w:val="24"/>
        </w:rPr>
        <w:br w:type="page"/>
      </w:r>
      <w:bookmarkStart w:id="34" w:name="_Toc169605884"/>
      <w:r>
        <w:rPr>
          <w:rFonts w:hint="eastAsia" w:ascii="宋体" w:hAnsi="宋体" w:eastAsia="宋体" w:cs="宋体"/>
          <w:b/>
          <w:bCs/>
          <w:kern w:val="44"/>
          <w:sz w:val="24"/>
          <w:szCs w:val="24"/>
        </w:rPr>
        <w:t>第四章  质保期及售后服务</w:t>
      </w:r>
      <w:bookmarkEnd w:id="34"/>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一、质保期及质保要求</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24</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个月</w:t>
      </w:r>
      <w:r>
        <w:rPr>
          <w:rFonts w:hint="eastAsia" w:ascii="宋体" w:hAnsi="宋体" w:eastAsia="宋体" w:cs="宋体"/>
          <w:b/>
          <w:bCs/>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二、技术及培训服务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sz w:val="24"/>
          <w:szCs w:val="24"/>
          <w:u w:val="single"/>
          <w:shd w:val="pct10" w:color="auto" w:fill="FFFFFF"/>
          <w:lang w:val="en-US" w:eastAsia="zh-CN"/>
        </w:rPr>
        <w:t>3</w:t>
      </w:r>
      <w:r>
        <w:rPr>
          <w:rFonts w:hint="eastAsia" w:ascii="宋体" w:hAnsi="宋体" w:eastAsia="宋体" w:cs="宋体"/>
          <w:sz w:val="24"/>
          <w:szCs w:val="24"/>
        </w:rPr>
        <w:t>个日历日。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三、安装调试及验收服务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四、售后服务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五、其它服务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pPr>
        <w:pStyle w:val="16"/>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keepNext/>
        <w:keepLines/>
        <w:spacing w:line="360" w:lineRule="auto"/>
        <w:jc w:val="center"/>
        <w:outlineLvl w:val="1"/>
        <w:rPr>
          <w:rFonts w:hint="eastAsia" w:ascii="宋体" w:hAnsi="宋体" w:eastAsia="宋体" w:cs="宋体"/>
          <w:b/>
          <w:bCs/>
          <w:kern w:val="44"/>
          <w:sz w:val="24"/>
          <w:szCs w:val="24"/>
        </w:rPr>
      </w:pPr>
      <w:bookmarkStart w:id="35" w:name="_Toc465187646"/>
      <w:r>
        <w:rPr>
          <w:rFonts w:hint="eastAsia" w:ascii="宋体" w:hAnsi="宋体" w:eastAsia="宋体" w:cs="宋体"/>
          <w:b/>
          <w:bCs/>
          <w:kern w:val="44"/>
          <w:sz w:val="24"/>
          <w:szCs w:val="24"/>
        </w:rPr>
        <w:t>第五章  预验收和终验收</w:t>
      </w:r>
      <w:bookmarkEnd w:id="35"/>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一、验收依据和验收标准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二、检验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2.进口货物的检验，卖方需要按照下述要求进行：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预验收一般条件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使用的压力容器、电气等应具备合格证（如果有压力容器）。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预验收基本要求</w:t>
      </w:r>
    </w:p>
    <w:p>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 设备构成、备件齐全</w:t>
      </w:r>
      <w:r>
        <w:rPr>
          <w:rFonts w:hint="eastAsia" w:ascii="宋体" w:hAnsi="宋体" w:eastAsia="宋体" w:cs="宋体"/>
          <w:sz w:val="24"/>
          <w:szCs w:val="24"/>
          <w:lang w:eastAsia="zh-CN"/>
        </w:rPr>
        <w:t>。</w:t>
      </w:r>
    </w:p>
    <w:p>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2.2 设备技术原理符合标书要求</w:t>
      </w:r>
      <w:r>
        <w:rPr>
          <w:rFonts w:hint="eastAsia" w:ascii="宋体" w:hAnsi="宋体" w:eastAsia="宋体" w:cs="宋体"/>
          <w:sz w:val="24"/>
          <w:szCs w:val="24"/>
          <w:lang w:eastAsia="zh-CN"/>
        </w:rPr>
        <w:t>。</w:t>
      </w:r>
    </w:p>
    <w:p>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2.3 预验收原则上要求一次完成。若一次验收不成功，最多允许两次；如果出现第三次验收失败，重新作价或退货</w:t>
      </w:r>
      <w:r>
        <w:rPr>
          <w:rFonts w:hint="eastAsia" w:ascii="宋体" w:hAnsi="宋体" w:eastAsia="宋体" w:cs="宋体"/>
          <w:sz w:val="24"/>
          <w:szCs w:val="24"/>
          <w:lang w:eastAsia="zh-CN"/>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终验收一般条件</w:t>
      </w:r>
    </w:p>
    <w:p>
      <w:pPr>
        <w:adjustRightInd w:val="0"/>
        <w:snapToGrid w:val="0"/>
        <w:spacing w:line="360" w:lineRule="auto"/>
        <w:ind w:firstLine="480" w:firstLineChars="200"/>
        <w:rPr>
          <w:rFonts w:hint="eastAsia" w:ascii="宋体" w:hAnsi="宋体" w:eastAsia="宋体" w:cs="宋体"/>
          <w:color w:val="000000"/>
          <w:sz w:val="24"/>
          <w:szCs w:val="24"/>
          <w:highlight w:val="yellow"/>
          <w:u w:val="single"/>
        </w:rPr>
      </w:pPr>
      <w:r>
        <w:rPr>
          <w:rFonts w:hint="eastAsia" w:ascii="宋体" w:hAnsi="宋体" w:eastAsia="宋体" w:cs="宋体"/>
          <w:color w:val="000000"/>
          <w:sz w:val="24"/>
          <w:szCs w:val="24"/>
        </w:rPr>
        <w:t xml:space="preserve">3.1 </w:t>
      </w:r>
      <w:r>
        <w:rPr>
          <w:rFonts w:hint="eastAsia" w:ascii="宋体" w:hAnsi="宋体" w:eastAsia="宋体" w:cs="宋体"/>
          <w:sz w:val="24"/>
          <w:szCs w:val="24"/>
          <w:highlight w:val="yellow"/>
          <w:u w:val="single"/>
        </w:rPr>
        <w:t xml:space="preserve"> 按照第二章技术要求中的第三条技术要求内容（设备的精度、重复性要求，进行实验测试，试验结果要量化，达到或者超过技术要求中的精度以及重复性的规定。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 氨分析仪设备验收时，其参数无法满足招标书中的技术要求。</w:t>
      </w:r>
    </w:p>
    <w:p>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3.2.2 在整个验收过程中发生关键零部件损坏或重大故障</w:t>
      </w:r>
      <w:r>
        <w:rPr>
          <w:rFonts w:hint="eastAsia" w:ascii="宋体" w:hAnsi="宋体" w:eastAsia="宋体" w:cs="宋体"/>
          <w:sz w:val="24"/>
          <w:szCs w:val="24"/>
          <w:lang w:eastAsia="zh-CN"/>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3.3 累计负载运行实际性能（或生产率）达不到合同规定</w:t>
      </w:r>
      <w:r>
        <w:rPr>
          <w:rFonts w:hint="eastAsia" w:ascii="宋体" w:hAnsi="宋体" w:eastAsia="宋体" w:cs="宋体"/>
          <w:color w:val="000000"/>
          <w:sz w:val="24"/>
          <w:szCs w:val="24"/>
          <w:lang w:eastAsia="zh-CN"/>
        </w:rPr>
        <w:t>。</w:t>
      </w:r>
    </w:p>
    <w:p>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r>
        <w:rPr>
          <w:rFonts w:hint="eastAsia" w:ascii="宋体" w:hAnsi="宋体" w:eastAsia="宋体" w:cs="宋体"/>
          <w:color w:val="000000"/>
          <w:sz w:val="24"/>
          <w:szCs w:val="24"/>
          <w:lang w:eastAsia="zh-CN"/>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3.5 终验收通过后买卖双方共同签署终验收报告，并移交、核对全部供货范围内物品</w:t>
      </w:r>
      <w:r>
        <w:rPr>
          <w:rFonts w:hint="eastAsia" w:ascii="宋体" w:hAnsi="宋体" w:eastAsia="宋体" w:cs="宋体"/>
          <w:sz w:val="24"/>
          <w:szCs w:val="24"/>
        </w:rPr>
        <w:t>。</w:t>
      </w:r>
    </w:p>
    <w:p>
      <w:pPr>
        <w:pStyle w:val="130"/>
        <w:spacing w:line="360" w:lineRule="auto"/>
        <w:outlineLvl w:val="1"/>
        <w:rPr>
          <w:rFonts w:hint="eastAsia" w:ascii="宋体" w:hAnsi="宋体" w:eastAsia="宋体" w:cs="宋体"/>
          <w:b/>
          <w:bCs w:val="0"/>
          <w:iCs/>
          <w:color w:val="auto"/>
          <w:sz w:val="24"/>
          <w:szCs w:val="24"/>
        </w:rPr>
      </w:pPr>
      <w:bookmarkStart w:id="36" w:name="_Toc131008493"/>
      <w:bookmarkStart w:id="37" w:name="_Toc465187647"/>
      <w:r>
        <w:rPr>
          <w:rFonts w:hint="eastAsia" w:ascii="宋体" w:hAnsi="宋体" w:eastAsia="宋体" w:cs="宋体"/>
          <w:b/>
          <w:bCs w:val="0"/>
          <w:iCs/>
          <w:color w:val="auto"/>
          <w:sz w:val="24"/>
          <w:szCs w:val="24"/>
        </w:rPr>
        <w:t>第六章  投标技术文件一般要求</w:t>
      </w:r>
      <w:bookmarkEnd w:id="36"/>
      <w:bookmarkEnd w:id="37"/>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序号</w:t>
            </w:r>
          </w:p>
        </w:tc>
        <w:tc>
          <w:tcPr>
            <w:tcW w:w="1924"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名称</w:t>
            </w:r>
          </w:p>
        </w:tc>
        <w:tc>
          <w:tcPr>
            <w:tcW w:w="1236"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型号规格</w:t>
            </w:r>
          </w:p>
        </w:tc>
        <w:tc>
          <w:tcPr>
            <w:tcW w:w="720"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单位</w:t>
            </w:r>
          </w:p>
        </w:tc>
        <w:tc>
          <w:tcPr>
            <w:tcW w:w="720"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数量</w:t>
            </w:r>
          </w:p>
        </w:tc>
        <w:tc>
          <w:tcPr>
            <w:tcW w:w="720"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单价</w:t>
            </w:r>
          </w:p>
        </w:tc>
        <w:tc>
          <w:tcPr>
            <w:tcW w:w="720"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总价</w:t>
            </w:r>
          </w:p>
        </w:tc>
        <w:tc>
          <w:tcPr>
            <w:tcW w:w="2235"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eastAsia="宋体" w:cs="宋体"/>
          <w:color w:val="auto"/>
        </w:rPr>
      </w:pPr>
      <w:r>
        <w:rPr>
          <w:rFonts w:hint="eastAsia" w:ascii="宋体" w:hAnsi="宋体" w:eastAsia="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eastAsia="宋体" w:cs="宋体"/>
          <w:color w:val="auto"/>
        </w:rPr>
      </w:pPr>
      <w:r>
        <w:rPr>
          <w:rFonts w:hint="eastAsia" w:ascii="宋体" w:hAnsi="宋体" w:eastAsia="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hint="eastAsia" w:ascii="宋体" w:hAnsi="宋体" w:eastAsia="宋体" w:cs="宋体"/>
          <w:b w:val="0"/>
          <w:sz w:val="24"/>
          <w:szCs w:val="24"/>
        </w:rPr>
        <w:sectPr>
          <w:footerReference r:id="rId10" w:type="first"/>
          <w:footerReference r:id="rId9" w:type="default"/>
          <w:pgSz w:w="11906" w:h="16838"/>
          <w:pgMar w:top="1588" w:right="1418" w:bottom="1134" w:left="1418" w:header="851" w:footer="992" w:gutter="0"/>
          <w:cols w:space="720" w:num="1"/>
          <w:titlePg/>
          <w:docGrid w:linePitch="312" w:charSpace="0"/>
        </w:sectPr>
      </w:pPr>
      <w:bookmarkStart w:id="38" w:name="_Toc465187648"/>
    </w:p>
    <w:p>
      <w:pPr>
        <w:pStyle w:val="130"/>
        <w:spacing w:line="360" w:lineRule="auto"/>
        <w:outlineLvl w:val="1"/>
        <w:rPr>
          <w:rFonts w:hint="eastAsia" w:ascii="宋体" w:hAnsi="宋体" w:eastAsia="宋体" w:cs="宋体"/>
          <w:b/>
          <w:bCs w:val="0"/>
          <w:iCs/>
          <w:color w:val="auto"/>
          <w:sz w:val="24"/>
          <w:szCs w:val="24"/>
        </w:rPr>
      </w:pPr>
      <w:bookmarkStart w:id="39" w:name="_Toc131008494"/>
      <w:r>
        <w:rPr>
          <w:rFonts w:hint="eastAsia" w:ascii="宋体" w:hAnsi="宋体" w:eastAsia="宋体" w:cs="宋体"/>
          <w:b/>
          <w:bCs w:val="0"/>
          <w:iCs/>
          <w:color w:val="auto"/>
          <w:sz w:val="24"/>
          <w:szCs w:val="24"/>
        </w:rPr>
        <w:t>第七章  其它要求及说明</w:t>
      </w:r>
      <w:bookmarkEnd w:id="38"/>
      <w:bookmarkEnd w:id="39"/>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.招标文件、投标文件、答疑文件、技术交流文件、技术标书等，在采购过程全部为有效文件，如有差异，以对招标人最有利的条款为准。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pPr>
        <w:pStyle w:val="16"/>
        <w:spacing w:line="360" w:lineRule="auto"/>
        <w:rPr>
          <w:rFonts w:hint="eastAsia" w:ascii="宋体" w:hAnsi="宋体" w:eastAsia="宋体" w:cs="宋体"/>
          <w:sz w:val="24"/>
          <w:szCs w:val="24"/>
        </w:rPr>
        <w:sectPr>
          <w:footerReference r:id="rId12" w:type="first"/>
          <w:footerReference r:id="rId11" w:type="default"/>
          <w:pgSz w:w="11907" w:h="16840"/>
          <w:pgMar w:top="1304" w:right="1418" w:bottom="1304" w:left="1418" w:header="724" w:footer="851" w:gutter="0"/>
          <w:cols w:space="720" w:num="1"/>
          <w:docGrid w:linePitch="290" w:charSpace="-3931"/>
        </w:sectPr>
      </w:pPr>
    </w:p>
    <w:bookmarkEnd w:id="0"/>
    <w:bookmarkEnd w:id="1"/>
    <w:bookmarkEnd w:id="33"/>
    <w:p>
      <w:pPr>
        <w:pStyle w:val="16"/>
      </w:pPr>
    </w:p>
    <w:p>
      <w:pPr>
        <w:spacing w:line="360" w:lineRule="auto"/>
        <w:jc w:val="center"/>
        <w:outlineLvl w:val="0"/>
        <w:rPr>
          <w:rFonts w:ascii="宋体" w:hAnsi="Calibri" w:eastAsia="宋体" w:cs="Times New Roman"/>
          <w:b/>
          <w:sz w:val="36"/>
          <w:szCs w:val="36"/>
        </w:rPr>
      </w:pPr>
      <w:bookmarkStart w:id="40"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0"/>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模板1</w:t>
      </w:r>
      <w:r>
        <w:rPr>
          <w:rFonts w:hint="eastAsia" w:ascii="方正小标宋简体" w:hAnsi="宋体" w:eastAsia="方正小标宋简体"/>
          <w:bCs/>
          <w:sz w:val="52"/>
          <w:szCs w:val="36"/>
          <w:lang w:eastAsia="zh-CN"/>
        </w:rPr>
        <w:t>）</w:t>
      </w:r>
    </w:p>
    <w:p>
      <w:pPr>
        <w:jc w:val="center"/>
        <w:outlineLvl w:val="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lang w:val="en-US" w:eastAsia="zh-CN"/>
        </w:rPr>
        <w:sectPr>
          <w:footerReference r:id="rId13" w:type="default"/>
          <w:pgSz w:w="11907" w:h="16840"/>
          <w:pgMar w:top="1304" w:right="1418" w:bottom="1304" w:left="1418" w:header="724" w:footer="851" w:gutter="0"/>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1" w:name="_Toc11823"/>
      <w:bookmarkStart w:id="42" w:name="_Toc17619"/>
      <w:bookmarkStart w:id="43" w:name="_Toc11930"/>
      <w:bookmarkStart w:id="44" w:name="_Toc16330018"/>
      <w:bookmarkStart w:id="45" w:name="_Toc9465"/>
      <w:r>
        <w:rPr>
          <w:rFonts w:hint="eastAsia" w:ascii="黑体" w:hAnsi="黑体" w:eastAsia="黑体" w:cstheme="minorEastAsia"/>
          <w:b w:val="0"/>
          <w:sz w:val="28"/>
          <w:szCs w:val="28"/>
        </w:rPr>
        <w:t>1 合同设备</w:t>
      </w:r>
      <w:bookmarkEnd w:id="41"/>
      <w:bookmarkEnd w:id="42"/>
      <w:bookmarkEnd w:id="43"/>
      <w:bookmarkEnd w:id="44"/>
      <w:bookmarkEnd w:id="4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6" w:name="_Toc22800"/>
      <w:bookmarkStart w:id="47" w:name="_Toc32510"/>
      <w:bookmarkStart w:id="48"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9" w:name="_Toc7716"/>
      <w:bookmarkStart w:id="50" w:name="_Toc16330019"/>
      <w:r>
        <w:rPr>
          <w:rFonts w:hint="eastAsia" w:ascii="黑体" w:hAnsi="黑体" w:eastAsia="黑体" w:cstheme="minorEastAsia"/>
          <w:b w:val="0"/>
          <w:sz w:val="28"/>
          <w:szCs w:val="28"/>
        </w:rPr>
        <w:t>2 包装</w:t>
      </w:r>
      <w:bookmarkEnd w:id="46"/>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1" w:name="_Toc30507"/>
      <w:bookmarkStart w:id="52" w:name="_Toc2833"/>
      <w:bookmarkStart w:id="53" w:name="_Toc27144"/>
      <w:bookmarkStart w:id="54" w:name="_Toc16330020"/>
      <w:bookmarkStart w:id="55" w:name="_Toc27453"/>
      <w:r>
        <w:rPr>
          <w:rFonts w:hint="eastAsia" w:ascii="黑体" w:hAnsi="黑体" w:eastAsia="黑体" w:cstheme="minorEastAsia"/>
          <w:b w:val="0"/>
          <w:sz w:val="28"/>
          <w:szCs w:val="28"/>
        </w:rPr>
        <w:t>3 运输标记</w:t>
      </w:r>
      <w:bookmarkEnd w:id="51"/>
      <w:bookmarkEnd w:id="52"/>
      <w:bookmarkEnd w:id="53"/>
      <w:bookmarkEnd w:id="54"/>
      <w:bookmarkEnd w:id="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6" w:name="_Toc7431"/>
      <w:bookmarkStart w:id="57" w:name="_Toc10630"/>
      <w:bookmarkStart w:id="58" w:name="_Toc8624"/>
      <w:bookmarkStart w:id="59" w:name="_Toc16330021"/>
      <w:bookmarkStart w:id="60" w:name="_Toc16133"/>
      <w:r>
        <w:rPr>
          <w:rFonts w:hint="eastAsia" w:ascii="黑体" w:hAnsi="黑体" w:eastAsia="黑体" w:cstheme="minorEastAsia"/>
          <w:b w:val="0"/>
          <w:sz w:val="28"/>
          <w:szCs w:val="28"/>
        </w:rPr>
        <w:t>4 检验</w:t>
      </w:r>
      <w:bookmarkEnd w:id="56"/>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1" w:name="_Toc14275"/>
      <w:bookmarkStart w:id="62" w:name="_Toc24467"/>
      <w:bookmarkStart w:id="63" w:name="_Toc11217"/>
      <w:bookmarkStart w:id="64" w:name="_Toc16330022"/>
      <w:bookmarkStart w:id="65" w:name="_Toc19850"/>
      <w:r>
        <w:rPr>
          <w:rFonts w:hint="eastAsia" w:ascii="黑体" w:hAnsi="黑体" w:eastAsia="黑体" w:cstheme="minorEastAsia"/>
          <w:b w:val="0"/>
          <w:sz w:val="28"/>
          <w:szCs w:val="28"/>
        </w:rPr>
        <w:t>5 权利担保</w:t>
      </w:r>
      <w:bookmarkEnd w:id="61"/>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6" w:name="_Toc14809"/>
      <w:bookmarkStart w:id="67" w:name="_Toc11759"/>
      <w:bookmarkStart w:id="68" w:name="_Toc16330023"/>
      <w:bookmarkStart w:id="69" w:name="_Toc27500"/>
      <w:bookmarkStart w:id="70" w:name="_Toc20827"/>
      <w:r>
        <w:rPr>
          <w:rFonts w:hint="eastAsia" w:ascii="黑体" w:hAnsi="黑体" w:eastAsia="黑体" w:cstheme="minorEastAsia"/>
          <w:b w:val="0"/>
          <w:sz w:val="28"/>
          <w:szCs w:val="28"/>
        </w:rPr>
        <w:t>6 交货</w:t>
      </w:r>
      <w:bookmarkEnd w:id="66"/>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1" w:name="_Toc23308"/>
      <w:bookmarkStart w:id="72" w:name="_Toc16330024"/>
      <w:bookmarkStart w:id="73" w:name="_Toc25510"/>
      <w:bookmarkStart w:id="74" w:name="_Toc2984"/>
      <w:bookmarkStart w:id="75" w:name="_Toc8024"/>
      <w:r>
        <w:rPr>
          <w:rFonts w:hint="eastAsia" w:ascii="黑体" w:hAnsi="黑体" w:eastAsia="黑体" w:cstheme="minorEastAsia"/>
          <w:b w:val="0"/>
          <w:sz w:val="28"/>
          <w:szCs w:val="28"/>
        </w:rPr>
        <w:t>7 安装、调试</w:t>
      </w:r>
      <w:bookmarkEnd w:id="71"/>
      <w:bookmarkEnd w:id="72"/>
      <w:bookmarkEnd w:id="73"/>
      <w:bookmarkEnd w:id="74"/>
      <w:bookmarkEnd w:id="75"/>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6" w:name="_Toc14260"/>
      <w:bookmarkStart w:id="77" w:name="_Toc16330025"/>
      <w:bookmarkStart w:id="78" w:name="_Toc15547"/>
      <w:bookmarkStart w:id="79" w:name="_Toc14098"/>
      <w:bookmarkStart w:id="80" w:name="_Toc6350"/>
      <w:r>
        <w:rPr>
          <w:rFonts w:hint="eastAsia" w:ascii="黑体" w:hAnsi="黑体" w:eastAsia="黑体" w:cstheme="minorEastAsia"/>
          <w:b w:val="0"/>
          <w:sz w:val="28"/>
          <w:szCs w:val="28"/>
        </w:rPr>
        <w:t>8 价款与支付</w:t>
      </w:r>
      <w:bookmarkEnd w:id="76"/>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1" w:name="_Toc14531628"/>
      <w:bookmarkStart w:id="82"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1"/>
      <w:bookmarkEnd w:id="82"/>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3" w:name="_Toc21726"/>
      <w:bookmarkStart w:id="84" w:name="_Toc25708"/>
      <w:bookmarkStart w:id="85" w:name="_Toc24085"/>
      <w:bookmarkStart w:id="86" w:name="_Toc6726"/>
      <w:bookmarkStart w:id="87" w:name="_Toc16330026"/>
      <w:r>
        <w:rPr>
          <w:rFonts w:hint="eastAsia" w:ascii="黑体" w:hAnsi="黑体" w:eastAsia="黑体" w:cstheme="minorEastAsia"/>
          <w:b w:val="0"/>
          <w:sz w:val="28"/>
          <w:szCs w:val="28"/>
        </w:rPr>
        <w:t>9 质量保证及售后服务</w:t>
      </w:r>
      <w:bookmarkEnd w:id="83"/>
      <w:bookmarkEnd w:id="84"/>
      <w:bookmarkEnd w:id="85"/>
      <w:bookmarkEnd w:id="86"/>
      <w:bookmarkEnd w:id="8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8" w:name="_Toc15570"/>
      <w:bookmarkStart w:id="89" w:name="_Toc12927"/>
      <w:bookmarkStart w:id="90" w:name="_Toc16330027"/>
      <w:bookmarkStart w:id="91" w:name="_Toc26769"/>
      <w:bookmarkStart w:id="92" w:name="_Toc10359"/>
      <w:r>
        <w:rPr>
          <w:rFonts w:hint="eastAsia" w:ascii="黑体" w:hAnsi="黑体" w:eastAsia="黑体" w:cstheme="minorEastAsia"/>
          <w:b w:val="0"/>
          <w:sz w:val="28"/>
          <w:szCs w:val="28"/>
        </w:rPr>
        <w:t>10法定责任</w:t>
      </w:r>
      <w:bookmarkEnd w:id="88"/>
      <w:bookmarkEnd w:id="89"/>
      <w:bookmarkEnd w:id="90"/>
      <w:bookmarkEnd w:id="91"/>
      <w:bookmarkEnd w:id="9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3" w:name="_Toc16330028"/>
      <w:bookmarkStart w:id="94" w:name="_Toc27314"/>
      <w:bookmarkStart w:id="95" w:name="_Toc9708"/>
      <w:bookmarkStart w:id="96" w:name="_Toc7698"/>
      <w:bookmarkStart w:id="97" w:name="_Toc30381"/>
      <w:r>
        <w:rPr>
          <w:rFonts w:hint="eastAsia" w:ascii="黑体" w:hAnsi="黑体" w:eastAsia="黑体" w:cstheme="minorEastAsia"/>
          <w:b w:val="0"/>
          <w:sz w:val="28"/>
          <w:szCs w:val="28"/>
        </w:rPr>
        <w:t>11 违约责任</w:t>
      </w:r>
      <w:bookmarkEnd w:id="93"/>
      <w:bookmarkEnd w:id="94"/>
      <w:bookmarkEnd w:id="95"/>
      <w:bookmarkEnd w:id="96"/>
      <w:bookmarkEnd w:id="9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98" w:name="_Toc1827"/>
      <w:bookmarkStart w:id="99" w:name="_Toc9172"/>
      <w:bookmarkStart w:id="100" w:name="_Toc16330029"/>
      <w:bookmarkStart w:id="101"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98"/>
    <w:bookmarkEnd w:id="99"/>
    <w:bookmarkEnd w:id="100"/>
    <w:bookmarkEnd w:id="101"/>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2" w:name="_Toc23793"/>
      <w:r>
        <w:rPr>
          <w:rFonts w:hint="eastAsia" w:ascii="黑体" w:hAnsi="黑体" w:eastAsia="黑体" w:cstheme="minorEastAsia"/>
          <w:b w:val="0"/>
          <w:sz w:val="28"/>
          <w:szCs w:val="28"/>
        </w:rPr>
        <w:t>12 合同的终止与解除</w:t>
      </w:r>
      <w:bookmarkEnd w:id="10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3" w:name="_Toc8620"/>
      <w:bookmarkStart w:id="104" w:name="_Toc13671"/>
      <w:bookmarkStart w:id="105" w:name="_Toc16330030"/>
      <w:bookmarkStart w:id="106" w:name="_Toc31945"/>
      <w:bookmarkStart w:id="107" w:name="_Toc11937"/>
      <w:r>
        <w:rPr>
          <w:rFonts w:hint="eastAsia" w:ascii="黑体" w:hAnsi="黑体" w:eastAsia="黑体" w:cstheme="minorEastAsia"/>
          <w:b w:val="0"/>
          <w:sz w:val="28"/>
          <w:szCs w:val="28"/>
        </w:rPr>
        <w:t>13 不可抗力</w:t>
      </w:r>
      <w:bookmarkEnd w:id="103"/>
      <w:bookmarkEnd w:id="104"/>
      <w:bookmarkEnd w:id="105"/>
      <w:bookmarkEnd w:id="106"/>
      <w:bookmarkEnd w:id="10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8" w:name="_Toc31243"/>
      <w:bookmarkStart w:id="109" w:name="_Toc637"/>
      <w:bookmarkStart w:id="110" w:name="_Toc16330031"/>
      <w:bookmarkStart w:id="111" w:name="_Toc18772"/>
      <w:bookmarkStart w:id="112" w:name="_Toc30389"/>
      <w:r>
        <w:rPr>
          <w:rFonts w:hint="eastAsia" w:ascii="黑体" w:hAnsi="黑体" w:eastAsia="黑体" w:cstheme="minorEastAsia"/>
          <w:b w:val="0"/>
          <w:sz w:val="28"/>
          <w:szCs w:val="28"/>
        </w:rPr>
        <w:t>14 通讯</w:t>
      </w:r>
      <w:bookmarkEnd w:id="108"/>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13" w:name="_Toc23011"/>
      <w:bookmarkStart w:id="114" w:name="_Toc11290"/>
      <w:bookmarkStart w:id="115" w:name="_Toc12984"/>
      <w:bookmarkStart w:id="116" w:name="_Toc9915"/>
      <w:bookmarkStart w:id="117" w:name="_Toc16330032"/>
      <w:r>
        <w:rPr>
          <w:rFonts w:hint="eastAsia" w:ascii="黑体" w:hAnsi="黑体" w:eastAsia="黑体" w:cstheme="minorEastAsia"/>
          <w:b w:val="0"/>
          <w:sz w:val="28"/>
          <w:szCs w:val="28"/>
        </w:rPr>
        <w:t>15 适用法律及争议解决</w:t>
      </w:r>
      <w:bookmarkEnd w:id="113"/>
      <w:bookmarkEnd w:id="114"/>
      <w:bookmarkEnd w:id="115"/>
      <w:bookmarkEnd w:id="116"/>
      <w:bookmarkEnd w:id="11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8" w:name="_Toc23906"/>
      <w:bookmarkStart w:id="119" w:name="_Toc18207"/>
      <w:bookmarkStart w:id="120" w:name="_Toc16330033"/>
      <w:bookmarkStart w:id="121" w:name="_Toc23765"/>
      <w:bookmarkStart w:id="122" w:name="_Toc5747"/>
      <w:r>
        <w:rPr>
          <w:rFonts w:hint="eastAsia" w:ascii="黑体" w:hAnsi="黑体" w:eastAsia="黑体" w:cstheme="minorEastAsia"/>
          <w:b w:val="0"/>
          <w:sz w:val="28"/>
          <w:szCs w:val="28"/>
        </w:rPr>
        <w:t>16 附件</w:t>
      </w:r>
      <w:bookmarkEnd w:id="118"/>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3" w:name="_Toc17656"/>
      <w:bookmarkStart w:id="124" w:name="_Toc16330034"/>
      <w:bookmarkStart w:id="125" w:name="_Toc31331"/>
      <w:bookmarkStart w:id="126" w:name="_Toc27202"/>
      <w:bookmarkStart w:id="127" w:name="_Toc9594"/>
      <w:r>
        <w:rPr>
          <w:rFonts w:hint="eastAsia" w:ascii="黑体" w:hAnsi="黑体" w:eastAsia="黑体" w:cstheme="minorEastAsia"/>
          <w:b w:val="0"/>
          <w:sz w:val="28"/>
          <w:szCs w:val="28"/>
        </w:rPr>
        <w:t>17 其他规定</w:t>
      </w:r>
      <w:bookmarkEnd w:id="123"/>
      <w:bookmarkEnd w:id="124"/>
      <w:bookmarkEnd w:id="125"/>
      <w:bookmarkEnd w:id="126"/>
      <w:bookmarkEnd w:id="12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8" w:name="_Toc17952"/>
      <w:bookmarkStart w:id="129" w:name="_Toc29136"/>
      <w:bookmarkStart w:id="130" w:name="_Toc16330035"/>
      <w:bookmarkStart w:id="131"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2" w:name="_Toc15340"/>
      <w:r>
        <w:rPr>
          <w:rFonts w:hint="eastAsia" w:ascii="黑体" w:hAnsi="黑体" w:eastAsia="黑体" w:cstheme="minorEastAsia"/>
          <w:b w:val="0"/>
          <w:sz w:val="28"/>
          <w:szCs w:val="28"/>
        </w:rPr>
        <w:t>18 签署事项</w:t>
      </w:r>
      <w:bookmarkEnd w:id="128"/>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3" w:name="_Toc16330036"/>
      <w:bookmarkStart w:id="134" w:name="_Toc15689"/>
      <w:bookmarkStart w:id="135" w:name="_Toc28611"/>
      <w:bookmarkStart w:id="136" w:name="_Toc10272"/>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3"/>
    <w:bookmarkEnd w:id="134"/>
    <w:bookmarkEnd w:id="135"/>
    <w:bookmarkEnd w:id="136"/>
    <w:p>
      <w:pPr>
        <w:rPr>
          <w:sz w:val="24"/>
          <w:szCs w:val="24"/>
        </w:rPr>
      </w:pPr>
    </w:p>
    <w:p>
      <w:pPr>
        <w:pStyle w:val="2"/>
        <w:tabs>
          <w:tab w:val="right" w:leader="dot" w:pos="9061"/>
        </w:tabs>
        <w:rPr>
          <w:rFonts w:ascii="黑体" w:hAnsi="黑体" w:eastAsia="黑体" w:cstheme="minorEastAsia"/>
          <w:b w:val="0"/>
          <w:sz w:val="28"/>
          <w:szCs w:val="28"/>
        </w:rPr>
      </w:pPr>
      <w:bookmarkStart w:id="137" w:name="_Toc14581"/>
      <w:r>
        <w:rPr>
          <w:rFonts w:hint="eastAsia" w:ascii="黑体" w:hAnsi="黑体" w:eastAsia="黑体" w:cstheme="minorEastAsia"/>
          <w:b w:val="0"/>
          <w:sz w:val="28"/>
          <w:szCs w:val="28"/>
        </w:rPr>
        <w:t>附件一：设备清单明细表</w:t>
      </w:r>
      <w:bookmarkEnd w:id="137"/>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38" w:name="_Toc5379"/>
      <w:bookmarkStart w:id="139" w:name="_Toc3778"/>
      <w:bookmarkStart w:id="140" w:name="_Toc25120"/>
      <w:bookmarkStart w:id="141" w:name="_Toc24623"/>
      <w:bookmarkStart w:id="142" w:name="_Toc16330037"/>
    </w:p>
    <w:p>
      <w:pPr>
        <w:rPr>
          <w:rFonts w:ascii="黑体" w:hAnsi="黑体" w:eastAsia="黑体" w:cstheme="minorEastAsia"/>
          <w:b w:val="0"/>
          <w:sz w:val="28"/>
          <w:szCs w:val="28"/>
        </w:rPr>
      </w:pPr>
      <w:bookmarkStart w:id="143" w:name="_Toc8175"/>
      <w:r>
        <w:rPr>
          <w:rFonts w:hint="eastAsia" w:ascii="黑体" w:hAnsi="黑体" w:eastAsia="黑体" w:cstheme="minorEastAsia"/>
          <w:b w:val="0"/>
          <w:sz w:val="28"/>
          <w:szCs w:val="28"/>
        </w:rPr>
        <w:t xml:space="preserve">附件二 </w:t>
      </w:r>
      <w:bookmarkEnd w:id="138"/>
      <w:bookmarkEnd w:id="139"/>
      <w:bookmarkEnd w:id="140"/>
      <w:bookmarkEnd w:id="141"/>
      <w:bookmarkEnd w:id="142"/>
      <w:r>
        <w:rPr>
          <w:rFonts w:hint="eastAsia" w:ascii="黑体" w:hAnsi="黑体" w:eastAsia="黑体" w:cstheme="minorEastAsia"/>
          <w:b w:val="0"/>
          <w:sz w:val="28"/>
          <w:szCs w:val="28"/>
        </w:rPr>
        <w:t>技术协议书</w:t>
      </w:r>
      <w:bookmarkEnd w:id="143"/>
    </w:p>
    <w:p>
      <w:pPr>
        <w:ind w:right="360"/>
        <w:rPr>
          <w:rFonts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pPr>
        <w:pStyle w:val="32"/>
        <w:spacing w:line="240" w:lineRule="auto"/>
        <w:ind w:right="-290" w:rightChars="-138"/>
        <w:outlineLvl w:val="9"/>
        <w:rPr>
          <w:rFonts w:eastAsia="仿宋" w:cs="Arial"/>
        </w:rPr>
      </w:pPr>
      <w:bookmarkStart w:id="144" w:name="_Toc565"/>
      <w:bookmarkStart w:id="145" w:name="_Toc16963"/>
      <w:r>
        <w:rPr>
          <w:rFonts w:eastAsia="仿宋" w:cs="Arial"/>
        </w:rPr>
        <w:t>Contract for Sale and Purchase of Commodities</w:t>
      </w:r>
      <w:bookmarkEnd w:id="144"/>
      <w:bookmarkEnd w:id="145"/>
    </w:p>
    <w:p>
      <w:pPr>
        <w:pStyle w:val="32"/>
        <w:spacing w:line="240" w:lineRule="auto"/>
        <w:outlineLvl w:val="1"/>
        <w:rPr>
          <w:rFonts w:eastAsia="仿宋" w:cs="Arial"/>
        </w:rPr>
      </w:pPr>
      <w:bookmarkStart w:id="146" w:name="_Toc4629"/>
      <w:bookmarkStart w:id="147" w:name="_Toc8644"/>
      <w:r>
        <w:rPr>
          <w:rFonts w:eastAsia="仿宋" w:cs="Arial"/>
        </w:rPr>
        <w:t>货物买卖合同</w:t>
      </w:r>
      <w:r>
        <w:rPr>
          <w:rFonts w:hint="eastAsia" w:eastAsia="仿宋" w:cs="Arial"/>
        </w:rPr>
        <w:t>（模板2）</w:t>
      </w:r>
      <w:bookmarkEnd w:id="146"/>
      <w:bookmarkEnd w:id="147"/>
    </w:p>
    <w:p>
      <w:pPr>
        <w:jc w:val="center"/>
        <w:outlineLvl w:val="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（合同以双方最终签署的版本为准）</w:t>
      </w:r>
    </w:p>
    <w:p>
      <w:pPr>
        <w:ind w:left="360" w:hanging="360"/>
        <w:rPr>
          <w:rFonts w:ascii="Arial" w:hAnsi="Arial" w:eastAsia="仿宋" w:cs="Arial"/>
          <w:szCs w:val="21"/>
        </w:rPr>
      </w:pPr>
    </w:p>
    <w:p>
      <w:pPr>
        <w:ind w:left="360" w:right="964" w:hanging="360"/>
        <w:jc w:val="center"/>
        <w:rPr>
          <w:rFonts w:ascii="Arial" w:hAnsi="Arial" w:eastAsia="仿宋" w:cs="Arial"/>
          <w:b/>
          <w:sz w:val="24"/>
          <w:szCs w:val="24"/>
        </w:rPr>
      </w:pPr>
      <w:r>
        <w:rPr>
          <w:rFonts w:ascii="Arial" w:hAnsi="Arial" w:eastAsia="仿宋" w:cs="Arial"/>
          <w:b/>
          <w:sz w:val="24"/>
          <w:szCs w:val="24"/>
        </w:rPr>
        <w:t xml:space="preserve">                                               Contract No:           </w:t>
      </w:r>
    </w:p>
    <w:p>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pPr>
        <w:ind w:left="360" w:hanging="360"/>
        <w:jc w:val="right"/>
        <w:rPr>
          <w:rFonts w:ascii="Arial" w:hAnsi="Arial" w:eastAsia="仿宋" w:cs="Arial"/>
          <w:sz w:val="24"/>
          <w:szCs w:val="24"/>
        </w:rPr>
      </w:pPr>
    </w:p>
    <w:p>
      <w:pPr>
        <w:ind w:left="360" w:hanging="360"/>
        <w:jc w:val="right"/>
        <w:rPr>
          <w:rFonts w:ascii="Arial" w:hAnsi="Arial" w:cs="Arial"/>
          <w:sz w:val="24"/>
          <w:szCs w:val="24"/>
        </w:rPr>
      </w:pPr>
    </w:p>
    <w:p>
      <w:pPr>
        <w:rPr>
          <w:rFonts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pPr>
        <w:ind w:left="360" w:hanging="360"/>
        <w:rPr>
          <w:rFonts w:eastAsia="仿宋" w:cs="Times New Roman"/>
          <w:szCs w:val="21"/>
        </w:rPr>
      </w:pPr>
      <w:r>
        <w:rPr>
          <w:rFonts w:hint="eastAsia" w:eastAsia="仿宋" w:cs="Times New Roman"/>
          <w:szCs w:val="21"/>
        </w:rPr>
        <w:t>本货物买卖合同（以下简称“本合同”）由以下各方于【】年【】月【】日在【地点】签署</w:t>
      </w:r>
    </w:p>
    <w:p>
      <w:pPr>
        <w:rPr>
          <w:rFonts w:eastAsia="仿宋" w:cs="Times New Roman"/>
          <w:szCs w:val="21"/>
        </w:rPr>
      </w:pPr>
    </w:p>
    <w:p>
      <w:pPr>
        <w:rPr>
          <w:rFonts w:eastAsia="仿宋" w:cs="Times New Roman"/>
          <w:szCs w:val="21"/>
        </w:rPr>
      </w:pPr>
      <w:r>
        <w:rPr>
          <w:rFonts w:eastAsia="仿宋" w:cs="Times New Roman"/>
          <w:szCs w:val="21"/>
        </w:rPr>
        <w:t>The Buyer:</w:t>
      </w:r>
    </w:p>
    <w:p>
      <w:pPr>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pPr>
        <w:rPr>
          <w:rFonts w:eastAsia="仿宋" w:cs="Times New Roman"/>
          <w:szCs w:val="21"/>
        </w:rPr>
      </w:pPr>
      <w:r>
        <w:rPr>
          <w:rFonts w:eastAsia="仿宋" w:cs="Times New Roman"/>
          <w:szCs w:val="21"/>
        </w:rPr>
        <w:t xml:space="preserve">Address: </w:t>
      </w:r>
    </w:p>
    <w:p>
      <w:pPr>
        <w:rPr>
          <w:rFonts w:eastAsia="仿宋" w:cs="Times New Roman"/>
          <w:szCs w:val="21"/>
        </w:rPr>
      </w:pPr>
      <w:r>
        <w:rPr>
          <w:rFonts w:eastAsia="仿宋" w:cs="Times New Roman"/>
          <w:szCs w:val="21"/>
        </w:rPr>
        <w:t>地址：</w:t>
      </w:r>
    </w:p>
    <w:p>
      <w:pPr>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pPr>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pPr>
        <w:rPr>
          <w:rFonts w:eastAsia="仿宋" w:cs="Times New Roman"/>
          <w:szCs w:val="21"/>
          <w:lang w:val="fr-FR"/>
        </w:rPr>
      </w:pPr>
      <w:r>
        <w:rPr>
          <w:rFonts w:eastAsia="仿宋" w:cs="Times New Roman"/>
          <w:szCs w:val="21"/>
          <w:lang w:val="fr-FR"/>
        </w:rPr>
        <w:t xml:space="preserve">Email:  </w:t>
      </w:r>
    </w:p>
    <w:p>
      <w:pPr>
        <w:rPr>
          <w:rFonts w:eastAsia="仿宋" w:cs="Times New Roman"/>
          <w:szCs w:val="21"/>
        </w:rPr>
      </w:pPr>
    </w:p>
    <w:p>
      <w:pPr>
        <w:rPr>
          <w:rFonts w:eastAsia="仿宋" w:cs="Times New Roman"/>
          <w:szCs w:val="21"/>
          <w:lang w:val="fr-FR"/>
        </w:rPr>
      </w:pPr>
    </w:p>
    <w:p>
      <w:pPr>
        <w:rPr>
          <w:rFonts w:eastAsia="仿宋" w:cs="Times New Roman"/>
          <w:szCs w:val="21"/>
          <w:lang w:val="fr-FR"/>
        </w:rPr>
      </w:pPr>
      <w:r>
        <w:rPr>
          <w:rFonts w:eastAsia="仿宋" w:cs="Times New Roman"/>
          <w:szCs w:val="21"/>
          <w:lang w:val="fr-FR"/>
        </w:rPr>
        <w:t xml:space="preserve">The Seller:  </w:t>
      </w:r>
    </w:p>
    <w:p>
      <w:pPr>
        <w:rPr>
          <w:rFonts w:eastAsia="仿宋" w:cs="Times New Roman"/>
          <w:szCs w:val="21"/>
        </w:rPr>
      </w:pPr>
      <w:r>
        <w:rPr>
          <w:rFonts w:eastAsia="仿宋" w:cs="Times New Roman"/>
          <w:szCs w:val="21"/>
        </w:rPr>
        <w:t xml:space="preserve">卖方：      </w:t>
      </w:r>
    </w:p>
    <w:p>
      <w:pPr>
        <w:rPr>
          <w:rFonts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pPr>
        <w:rPr>
          <w:rFonts w:eastAsia="仿宋" w:cs="Times New Roman"/>
          <w:szCs w:val="21"/>
          <w:lang w:val="fr-FR"/>
        </w:rPr>
      </w:pPr>
      <w:r>
        <w:rPr>
          <w:rFonts w:eastAsia="仿宋" w:cs="Times New Roman"/>
          <w:szCs w:val="21"/>
          <w:lang w:val="fr-FR"/>
        </w:rPr>
        <w:t xml:space="preserve">Tel:      </w:t>
      </w:r>
    </w:p>
    <w:p>
      <w:pPr>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pPr>
        <w:rPr>
          <w:rFonts w:eastAsia="仿宋" w:cs="Times New Roman"/>
          <w:szCs w:val="21"/>
          <w:lang w:val="fr-FR"/>
        </w:rPr>
      </w:pPr>
      <w:r>
        <w:rPr>
          <w:rFonts w:eastAsia="仿宋" w:cs="Times New Roman"/>
          <w:szCs w:val="21"/>
          <w:lang w:val="fr-FR"/>
        </w:rPr>
        <w:t xml:space="preserve">Email:     </w:t>
      </w:r>
    </w:p>
    <w:p>
      <w:pPr>
        <w:rPr>
          <w:rFonts w:eastAsia="仿宋" w:cs="Times New Roman"/>
          <w:szCs w:val="21"/>
          <w:lang w:val="fr-FR"/>
        </w:rPr>
      </w:pPr>
    </w:p>
    <w:p>
      <w:pPr>
        <w:rPr>
          <w:rFonts w:eastAsia="仿宋" w:cs="Times New Roman"/>
          <w:szCs w:val="21"/>
        </w:rPr>
      </w:pPr>
    </w:p>
    <w:p>
      <w:pPr>
        <w:rPr>
          <w:rFonts w:eastAsia="仿宋" w:cs="Times New Roman"/>
          <w:szCs w:val="21"/>
        </w:rPr>
      </w:pPr>
      <w:r>
        <w:rPr>
          <w:rFonts w:eastAsia="仿宋" w:cs="Times New Roman"/>
          <w:szCs w:val="21"/>
        </w:rPr>
        <w:t xml:space="preserve">The Enduser: </w:t>
      </w:r>
    </w:p>
    <w:p>
      <w:pPr>
        <w:rPr>
          <w:rFonts w:eastAsia="仿宋" w:cs="Times New Roman"/>
          <w:szCs w:val="21"/>
        </w:rPr>
      </w:pPr>
      <w:r>
        <w:rPr>
          <w:rFonts w:eastAsia="仿宋" w:cs="Times New Roman"/>
          <w:szCs w:val="21"/>
        </w:rPr>
        <w:t xml:space="preserve">最终用户： </w:t>
      </w:r>
    </w:p>
    <w:p>
      <w:pPr>
        <w:rPr>
          <w:rFonts w:eastAsia="仿宋" w:cs="Times New Roman"/>
          <w:szCs w:val="21"/>
        </w:rPr>
      </w:pPr>
      <w:r>
        <w:rPr>
          <w:rFonts w:eastAsia="仿宋" w:cs="Times New Roman"/>
          <w:szCs w:val="21"/>
        </w:rPr>
        <w:t xml:space="preserve">Address:  </w:t>
      </w:r>
    </w:p>
    <w:p>
      <w:pPr>
        <w:rPr>
          <w:rFonts w:eastAsia="仿宋" w:cs="Times New Roman"/>
          <w:szCs w:val="21"/>
        </w:rPr>
      </w:pPr>
      <w:r>
        <w:rPr>
          <w:rFonts w:eastAsia="仿宋" w:cs="Times New Roman"/>
          <w:szCs w:val="21"/>
        </w:rPr>
        <w:t>Tel:         </w:t>
      </w:r>
    </w:p>
    <w:p>
      <w:pPr>
        <w:rPr>
          <w:rFonts w:eastAsia="仿宋" w:cs="Times New Roman"/>
          <w:szCs w:val="21"/>
        </w:rPr>
      </w:pPr>
      <w:r>
        <w:rPr>
          <w:rFonts w:eastAsia="仿宋" w:cs="Times New Roman"/>
          <w:szCs w:val="21"/>
        </w:rPr>
        <w:t xml:space="preserve">Fax:       </w:t>
      </w:r>
    </w:p>
    <w:p>
      <w:pPr>
        <w:rPr>
          <w:rFonts w:eastAsia="仿宋" w:cs="Times New Roman"/>
          <w:szCs w:val="21"/>
        </w:rPr>
      </w:pPr>
      <w:r>
        <w:rPr>
          <w:rFonts w:eastAsia="仿宋" w:cs="Times New Roman"/>
          <w:szCs w:val="21"/>
        </w:rPr>
        <w:t>Email:    </w:t>
      </w:r>
    </w:p>
    <w:p>
      <w:pPr>
        <w:rPr>
          <w:rFonts w:eastAsia="仿宋" w:cs="Times New Roman"/>
          <w:szCs w:val="21"/>
        </w:rPr>
      </w:pPr>
      <w:r>
        <w:rPr>
          <w:rFonts w:eastAsia="仿宋" w:cs="Times New Roman"/>
          <w:b/>
          <w:szCs w:val="21"/>
        </w:rPr>
        <w:t xml:space="preserve"> </w:t>
      </w:r>
    </w:p>
    <w:p>
      <w:pPr>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pPr>
        <w:rPr>
          <w:rFonts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pPr>
        <w:rPr>
          <w:rFonts w:eastAsia="仿宋" w:cs="Times New Roman"/>
          <w:szCs w:val="21"/>
        </w:rPr>
      </w:pPr>
    </w:p>
    <w:p>
      <w:pPr>
        <w:tabs>
          <w:tab w:val="left" w:pos="567"/>
        </w:tabs>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pPr>
        <w:rPr>
          <w:rFonts w:eastAsia="仿宋" w:cs="Times New Roman"/>
          <w:szCs w:val="21"/>
          <w:lang w:eastAsia="zh-TW"/>
        </w:rPr>
      </w:pPr>
    </w:p>
    <w:tbl>
      <w:tblPr>
        <w:tblStyle w:val="35"/>
        <w:tblW w:w="0" w:type="auto"/>
        <w:tblInd w:w="108" w:type="dxa"/>
        <w:tblLayout w:type="fixed"/>
        <w:tblCellMar>
          <w:top w:w="0" w:type="dxa"/>
          <w:left w:w="108" w:type="dxa"/>
          <w:bottom w:w="0" w:type="dxa"/>
          <w:right w:w="108" w:type="dxa"/>
        </w:tblCellMar>
      </w:tblPr>
      <w:tblGrid>
        <w:gridCol w:w="2835"/>
        <w:gridCol w:w="284"/>
        <w:gridCol w:w="5674"/>
      </w:tblGrid>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pPr>
              <w:rPr>
                <w:rFonts w:eastAsia="仿宋" w:cs="Times New Roman"/>
                <w:szCs w:val="21"/>
              </w:rPr>
            </w:pPr>
            <w:r>
              <w:rPr>
                <w:rFonts w:hint="eastAsia" w:eastAsia="仿宋" w:cs="Times New Roman"/>
                <w:szCs w:val="21"/>
                <w:lang w:eastAsia="zh-TW"/>
              </w:rPr>
              <w:t>贸易术语</w:t>
            </w:r>
          </w:p>
        </w:tc>
        <w:tc>
          <w:tcPr>
            <w:tcW w:w="284" w:type="dxa"/>
          </w:tcPr>
          <w:p>
            <w:pPr>
              <w:rPr>
                <w:rFonts w:eastAsia="仿宋" w:cs="Times New Roman"/>
                <w:szCs w:val="21"/>
              </w:rPr>
            </w:pPr>
          </w:p>
        </w:tc>
        <w:tc>
          <w:tcPr>
            <w:tcW w:w="5674" w:type="dxa"/>
          </w:tcPr>
          <w:p>
            <w:pPr>
              <w:rPr>
                <w:rFonts w:eastAsia="仿宋" w:cs="Times New Roman"/>
                <w:szCs w:val="21"/>
              </w:rPr>
            </w:pPr>
            <w:r>
              <w:rPr>
                <w:rFonts w:eastAsia="仿宋" w:cs="Times New Roman"/>
                <w:szCs w:val="21"/>
                <w:lang w:eastAsia="zh-TW"/>
              </w:rPr>
              <w:t>This contract uses trade terms as defined in INCOTERMS® 2020</w:t>
            </w:r>
            <w:r>
              <w:rPr>
                <w:rFonts w:hint="eastAsia" w:eastAsia="仿宋" w:cs="Times New Roman"/>
                <w:szCs w:val="21"/>
              </w:rPr>
              <w:t>。</w:t>
            </w:r>
          </w:p>
          <w:p>
            <w:pPr>
              <w:rPr>
                <w:rFonts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pPr>
              <w:rPr>
                <w:rFonts w:eastAsia="仿宋" w:cs="Times New Roman"/>
                <w:szCs w:val="21"/>
              </w:rPr>
            </w:pP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Contract Value</w:t>
            </w:r>
          </w:p>
          <w:p>
            <w:pPr>
              <w:rPr>
                <w:rFonts w:eastAsia="仿宋" w:cs="Times New Roman"/>
                <w:szCs w:val="21"/>
              </w:rPr>
            </w:pPr>
            <w:r>
              <w:rPr>
                <w:rFonts w:eastAsia="仿宋" w:cs="Times New Roman"/>
                <w:szCs w:val="21"/>
              </w:rPr>
              <w:t>合同价格</w:t>
            </w:r>
          </w:p>
        </w:tc>
        <w:tc>
          <w:tcPr>
            <w:tcW w:w="284" w:type="dxa"/>
          </w:tcPr>
          <w:p>
            <w:pPr>
              <w:rPr>
                <w:rFonts w:eastAsia="仿宋" w:cs="Times New Roman"/>
                <w:szCs w:val="21"/>
                <w:lang w:eastAsia="zh-TW"/>
              </w:rPr>
            </w:pPr>
          </w:p>
        </w:tc>
        <w:tc>
          <w:tcPr>
            <w:tcW w:w="5674" w:type="dxa"/>
          </w:tcPr>
          <w:p>
            <w:pPr>
              <w:rPr>
                <w:rFonts w:eastAsia="仿宋" w:cs="Times New Roman"/>
                <w:szCs w:val="21"/>
                <w:lang w:val="en"/>
              </w:rPr>
            </w:pPr>
            <w:r>
              <w:rPr>
                <w:rFonts w:eastAsia="仿宋" w:cs="Times New Roman"/>
                <w:szCs w:val="21"/>
                <w:lang w:val="en"/>
              </w:rPr>
              <w:t>means the total price for the Commodities under this Contract as specified in Article 10</w:t>
            </w:r>
          </w:p>
          <w:p>
            <w:pPr>
              <w:rPr>
                <w:rFonts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Commodities</w:t>
            </w:r>
          </w:p>
          <w:p>
            <w:pPr>
              <w:rPr>
                <w:rFonts w:eastAsia="仿宋" w:cs="Times New Roman"/>
                <w:szCs w:val="21"/>
              </w:rPr>
            </w:pPr>
            <w:r>
              <w:rPr>
                <w:rFonts w:eastAsia="仿宋" w:cs="Times New Roman"/>
                <w:szCs w:val="21"/>
              </w:rPr>
              <w:t>货物</w:t>
            </w:r>
          </w:p>
        </w:tc>
        <w:tc>
          <w:tcPr>
            <w:tcW w:w="284" w:type="dxa"/>
          </w:tcPr>
          <w:p>
            <w:pPr>
              <w:rPr>
                <w:rFonts w:eastAsia="仿宋" w:cs="Times New Roman"/>
                <w:szCs w:val="21"/>
                <w:lang w:eastAsia="zh-TW"/>
              </w:rPr>
            </w:pPr>
          </w:p>
        </w:tc>
        <w:tc>
          <w:tcPr>
            <w:tcW w:w="5674" w:type="dxa"/>
          </w:tcPr>
          <w:p>
            <w:r>
              <w:rPr>
                <w:rFonts w:hint="eastAsia"/>
              </w:rPr>
              <w:t>means the products including relevant technologies and  software supplied by the Seller to the Buyer as described in Article 2</w:t>
            </w:r>
          </w:p>
          <w:p>
            <w:pPr>
              <w:rPr>
                <w:rFonts w:eastAsia="仿宋" w:cs="Times New Roman"/>
                <w:szCs w:val="21"/>
                <w:lang w:val="en"/>
              </w:rPr>
            </w:pPr>
            <w:r>
              <w:rPr>
                <w:rFonts w:hint="eastAsia" w:eastAsia="仿宋" w:cs="Times New Roman"/>
                <w:szCs w:val="21"/>
                <w:lang w:val="en"/>
              </w:rPr>
              <w:t>指本合同第二条所述的卖方供给买方的产品包括相关技术和软件</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pPr>
              <w:rPr>
                <w:rFonts w:eastAsia="仿宋" w:cs="Times New Roman"/>
                <w:szCs w:val="21"/>
              </w:rPr>
            </w:pPr>
            <w:r>
              <w:rPr>
                <w:rFonts w:eastAsia="仿宋" w:cs="Times New Roman"/>
                <w:szCs w:val="21"/>
              </w:rPr>
              <w:t>不可抗力</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pPr>
              <w:rPr>
                <w:rFonts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Party</w:t>
            </w:r>
          </w:p>
          <w:p>
            <w:pPr>
              <w:rPr>
                <w:rFonts w:eastAsia="仿宋" w:cs="Times New Roman"/>
                <w:szCs w:val="21"/>
              </w:rPr>
            </w:pPr>
            <w:r>
              <w:rPr>
                <w:rFonts w:eastAsia="仿宋" w:cs="Times New Roman"/>
                <w:szCs w:val="21"/>
              </w:rPr>
              <w:t>当事方</w:t>
            </w:r>
          </w:p>
        </w:tc>
        <w:tc>
          <w:tcPr>
            <w:tcW w:w="284" w:type="dxa"/>
          </w:tcPr>
          <w:p>
            <w:pPr>
              <w:rPr>
                <w:rFonts w:eastAsia="仿宋" w:cs="Times New Roman"/>
                <w:szCs w:val="21"/>
                <w:lang w:eastAsia="zh-TW"/>
              </w:rPr>
            </w:pPr>
          </w:p>
        </w:tc>
        <w:tc>
          <w:tcPr>
            <w:tcW w:w="5674" w:type="dxa"/>
          </w:tcPr>
          <w:p>
            <w:pPr>
              <w:rPr>
                <w:rFonts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r>
              <w:rPr>
                <w:rFonts w:hint="eastAsia" w:eastAsia="仿宋" w:cs="Times New Roman"/>
                <w:szCs w:val="21"/>
                <w:lang w:eastAsia="zh-TW"/>
              </w:rPr>
              <w:t>;</w:t>
            </w:r>
          </w:p>
          <w:p>
            <w:pPr>
              <w:rPr>
                <w:rFonts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Parties</w:t>
            </w:r>
          </w:p>
          <w:p>
            <w:pPr>
              <w:rPr>
                <w:rFonts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pPr>
              <w:rPr>
                <w:rFonts w:eastAsia="仿宋" w:cs="Times New Roman"/>
                <w:szCs w:val="21"/>
                <w:lang w:eastAsia="zh-TW"/>
              </w:rPr>
            </w:pPr>
          </w:p>
        </w:tc>
        <w:tc>
          <w:tcPr>
            <w:tcW w:w="5674" w:type="dxa"/>
          </w:tcPr>
          <w:p>
            <w:pPr>
              <w:rPr>
                <w:rFonts w:eastAsia="仿宋" w:cs="Times New Roman"/>
                <w:szCs w:val="21"/>
                <w:lang w:eastAsia="zh-TW"/>
              </w:rPr>
            </w:pPr>
            <w:r>
              <w:rPr>
                <w:rFonts w:hint="eastAsia" w:eastAsia="仿宋" w:cs="Times New Roman"/>
                <w:szCs w:val="21"/>
                <w:lang w:eastAsia="zh-TW"/>
              </w:rPr>
              <w:t>means the Seller, the Buyer and the Enduser collectively</w:t>
            </w:r>
          </w:p>
          <w:p>
            <w:pPr>
              <w:rPr>
                <w:rFonts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PRC</w:t>
            </w:r>
          </w:p>
          <w:p>
            <w:pPr>
              <w:rPr>
                <w:rFonts w:eastAsia="仿宋" w:cs="Times New Roman"/>
                <w:szCs w:val="21"/>
              </w:rPr>
            </w:pPr>
            <w:r>
              <w:rPr>
                <w:rFonts w:hint="eastAsia" w:eastAsia="仿宋" w:cs="Times New Roman"/>
                <w:szCs w:val="21"/>
              </w:rPr>
              <w:t>中国</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pPr>
              <w:rPr>
                <w:rFonts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pPr>
              <w:rPr>
                <w:rFonts w:eastAsia="仿宋" w:cs="Times New Roman"/>
                <w:szCs w:val="21"/>
              </w:rPr>
            </w:pPr>
            <w:r>
              <w:rPr>
                <w:rFonts w:eastAsia="仿宋" w:cs="Times New Roman"/>
                <w:szCs w:val="21"/>
              </w:rPr>
              <w:t>交货时间表</w:t>
            </w:r>
          </w:p>
        </w:tc>
        <w:tc>
          <w:tcPr>
            <w:tcW w:w="284" w:type="dxa"/>
          </w:tcPr>
          <w:p>
            <w:pPr>
              <w:rPr>
                <w:rFonts w:eastAsia="仿宋" w:cs="Times New Roman"/>
                <w:szCs w:val="21"/>
                <w:lang w:eastAsia="zh-TW"/>
              </w:rPr>
            </w:pPr>
          </w:p>
        </w:tc>
        <w:tc>
          <w:tcPr>
            <w:tcW w:w="5674" w:type="dxa"/>
          </w:tcPr>
          <w:p>
            <w:pPr>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pPr>
              <w:rPr>
                <w:rFonts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lang w:eastAsia="zh-TW"/>
              </w:rPr>
              <w:t>Technical Agreement</w:t>
            </w:r>
          </w:p>
          <w:p>
            <w:pPr>
              <w:rPr>
                <w:rFonts w:eastAsia="仿宋" w:cs="Times New Roman"/>
                <w:szCs w:val="21"/>
              </w:rPr>
            </w:pPr>
            <w:r>
              <w:rPr>
                <w:rFonts w:eastAsia="仿宋" w:cs="Times New Roman"/>
                <w:szCs w:val="21"/>
              </w:rPr>
              <w:t>技术协议</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rPr>
                <w:rFonts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tblPrEx>
          <w:tblCellMar>
            <w:top w:w="0" w:type="dxa"/>
            <w:left w:w="108" w:type="dxa"/>
            <w:bottom w:w="0" w:type="dxa"/>
            <w:right w:w="108" w:type="dxa"/>
          </w:tblCellMar>
        </w:tblPrEx>
        <w:tc>
          <w:tcPr>
            <w:tcW w:w="2835" w:type="dxa"/>
          </w:tcPr>
          <w:p>
            <w:pPr>
              <w:jc w:val="left"/>
              <w:rPr>
                <w:rFonts w:eastAsia="仿宋" w:cs="Times New Roman"/>
                <w:szCs w:val="21"/>
                <w:lang w:eastAsia="zh-TW"/>
              </w:rPr>
            </w:pPr>
            <w:r>
              <w:rPr>
                <w:rFonts w:eastAsia="仿宋" w:cs="Times New Roman"/>
                <w:szCs w:val="21"/>
                <w:lang w:eastAsia="zh-TW"/>
              </w:rPr>
              <w:t>Quality Guarantee Agreement</w:t>
            </w:r>
          </w:p>
          <w:p>
            <w:pPr>
              <w:rPr>
                <w:rFonts w:eastAsia="仿宋" w:cs="Times New Roman"/>
                <w:szCs w:val="21"/>
              </w:rPr>
            </w:pPr>
            <w:r>
              <w:rPr>
                <w:rFonts w:hint="eastAsia" w:eastAsia="仿宋" w:cs="Times New Roman"/>
                <w:szCs w:val="21"/>
              </w:rPr>
              <w:t>质量保证协议</w:t>
            </w:r>
          </w:p>
          <w:p>
            <w:pPr>
              <w:rPr>
                <w:rFonts w:eastAsia="仿宋" w:cs="Times New Roman"/>
                <w:szCs w:val="21"/>
              </w:rPr>
            </w:pPr>
            <w:r>
              <w:rPr>
                <w:rFonts w:hint="eastAsia" w:eastAsia="仿宋" w:cs="Times New Roman"/>
                <w:i/>
                <w:iCs/>
                <w:szCs w:val="21"/>
              </w:rPr>
              <w:t>（如有）</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rPr>
                <w:rFonts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tblPrEx>
          <w:tblCellMar>
            <w:top w:w="0" w:type="dxa"/>
            <w:left w:w="108" w:type="dxa"/>
            <w:bottom w:w="0" w:type="dxa"/>
            <w:right w:w="108" w:type="dxa"/>
          </w:tblCellMar>
        </w:tblPrEx>
        <w:tc>
          <w:tcPr>
            <w:tcW w:w="2835" w:type="dxa"/>
          </w:tcPr>
          <w:p>
            <w:pPr>
              <w:jc w:val="left"/>
              <w:rPr>
                <w:rFonts w:eastAsia="楷体_GB2312" w:cs="Times New Roman"/>
                <w:iCs/>
                <w:color w:val="000000"/>
                <w:szCs w:val="21"/>
              </w:rPr>
            </w:pPr>
            <w:r>
              <w:rPr>
                <w:rFonts w:eastAsia="楷体_GB2312" w:cs="Times New Roman"/>
                <w:iCs/>
                <w:color w:val="000000"/>
                <w:szCs w:val="21"/>
              </w:rPr>
              <w:t>Final Acceptance</w:t>
            </w:r>
          </w:p>
          <w:p>
            <w:pPr>
              <w:jc w:val="left"/>
              <w:rPr>
                <w:rFonts w:ascii="Arial" w:hAnsi="Arial" w:eastAsia="楷体_GB2312"/>
                <w:iCs/>
                <w:color w:val="000000"/>
                <w:szCs w:val="21"/>
              </w:rPr>
            </w:pPr>
            <w:r>
              <w:rPr>
                <w:rFonts w:hint="eastAsia" w:ascii="Arial" w:hAnsi="Arial" w:eastAsia="楷体_GB2312"/>
                <w:iCs/>
                <w:color w:val="000000"/>
                <w:szCs w:val="21"/>
              </w:rPr>
              <w:t>最终验收</w:t>
            </w:r>
          </w:p>
        </w:tc>
        <w:tc>
          <w:tcPr>
            <w:tcW w:w="284" w:type="dxa"/>
          </w:tcPr>
          <w:p>
            <w:pPr>
              <w:rPr>
                <w:rFonts w:eastAsia="仿宋" w:cs="Times New Roman"/>
                <w:szCs w:val="21"/>
                <w:lang w:eastAsia="zh-TW"/>
              </w:rPr>
            </w:pPr>
          </w:p>
        </w:tc>
        <w:tc>
          <w:tcPr>
            <w:tcW w:w="5674" w:type="dxa"/>
          </w:tcPr>
          <w:p>
            <w:pPr>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pPr>
              <w:rPr>
                <w:rFonts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pPr>
              <w:rPr>
                <w:rFonts w:eastAsia="仿宋" w:cs="Times New Roman"/>
                <w:szCs w:val="21"/>
              </w:rPr>
            </w:pPr>
            <w:r>
              <w:rPr>
                <w:rFonts w:ascii="仿宋" w:hAnsi="仿宋" w:eastAsia="仿宋" w:cs="Arial"/>
                <w:szCs w:val="21"/>
              </w:rPr>
              <w:t>最终用户</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rPr>
              <w:t>means the company (</w:t>
            </w:r>
            <w:r>
              <w:rPr>
                <w:rFonts w:hint="eastAsia" w:eastAsia="仿宋" w:cs="Times New Roman"/>
                <w:szCs w:val="21"/>
              </w:rPr>
              <w:t>【】</w:t>
            </w:r>
            <w:r>
              <w:rPr>
                <w:rFonts w:eastAsia="仿宋" w:cs="Times New Roman"/>
                <w:szCs w:val="21"/>
              </w:rPr>
              <w:t>) at whose designated premises the Commodities under this Contract will be installed and used</w:t>
            </w:r>
          </w:p>
          <w:p>
            <w:pPr>
              <w:rPr>
                <w:rFonts w:eastAsia="仿宋" w:cs="Times New Roman"/>
                <w:szCs w:val="21"/>
              </w:rPr>
            </w:pPr>
            <w:r>
              <w:rPr>
                <w:rFonts w:eastAsia="仿宋" w:cs="Times New Roman"/>
                <w:szCs w:val="21"/>
              </w:rPr>
              <w:t>本合同项下设备的安装和使用方，即</w:t>
            </w:r>
            <w:r>
              <w:rPr>
                <w:rFonts w:hint="eastAsia" w:eastAsia="仿宋" w:cs="Times New Roman"/>
                <w:szCs w:val="21"/>
              </w:rPr>
              <w:t>【】。</w:t>
            </w:r>
          </w:p>
        </w:tc>
      </w:tr>
    </w:tbl>
    <w:p>
      <w:pPr>
        <w:rPr>
          <w:rFonts w:eastAsia="仿宋" w:cs="Times New Roman"/>
          <w:szCs w:val="21"/>
        </w:rPr>
      </w:pPr>
      <w:r>
        <w:rPr>
          <w:rFonts w:eastAsia="仿宋" w:cs="Times New Roman"/>
          <w:szCs w:val="21"/>
        </w:rPr>
        <w:t xml:space="preserve"> </w:t>
      </w:r>
    </w:p>
    <w:p>
      <w:pPr>
        <w:tabs>
          <w:tab w:val="left" w:pos="567"/>
        </w:tabs>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pPr>
        <w:ind w:left="360" w:hanging="360"/>
        <w:rPr>
          <w:rFonts w:eastAsia="仿宋" w:cs="Times New Roman"/>
          <w:szCs w:val="21"/>
          <w:lang w:eastAsia="zh-TW"/>
        </w:rPr>
      </w:pPr>
    </w:p>
    <w:p>
      <w:pPr>
        <w:numPr>
          <w:ilvl w:val="1"/>
          <w:numId w:val="8"/>
        </w:numPr>
        <w:rPr>
          <w:rFonts w:eastAsia="仿宋" w:cs="Times New Roman"/>
          <w:szCs w:val="21"/>
          <w:lang w:eastAsia="zh-TW"/>
        </w:rPr>
      </w:pP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pPr>
        <w:ind w:left="840"/>
        <w:rPr>
          <w:rFonts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pPr>
        <w:ind w:left="840"/>
        <w:rPr>
          <w:rFonts w:eastAsia="仿宋" w:cs="Times New Roman"/>
          <w:szCs w:val="21"/>
        </w:rPr>
      </w:pPr>
    </w:p>
    <w:tbl>
      <w:tblPr>
        <w:tblStyle w:val="35"/>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szCs w:val="21"/>
              </w:rPr>
            </w:pPr>
            <w:r>
              <w:rPr>
                <w:rFonts w:eastAsia="仿宋" w:cs="Times New Roman"/>
                <w:szCs w:val="21"/>
              </w:rPr>
              <w:t>Item</w:t>
            </w:r>
          </w:p>
          <w:p>
            <w:pPr>
              <w:jc w:val="center"/>
              <w:rPr>
                <w:rFonts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szCs w:val="21"/>
              </w:rPr>
            </w:pPr>
            <w:r>
              <w:rPr>
                <w:rFonts w:eastAsia="仿宋" w:cs="Times New Roman"/>
                <w:szCs w:val="21"/>
              </w:rPr>
              <w:t>Description</w:t>
            </w:r>
          </w:p>
          <w:p>
            <w:pPr>
              <w:jc w:val="center"/>
              <w:rPr>
                <w:rFonts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pPr>
              <w:jc w:val="center"/>
              <w:rPr>
                <w:rFonts w:eastAsia="仿宋" w:cs="Times New Roman"/>
                <w:szCs w:val="21"/>
              </w:rPr>
            </w:pPr>
            <w:r>
              <w:rPr>
                <w:rFonts w:eastAsia="仿宋" w:cs="Times New Roman"/>
                <w:szCs w:val="21"/>
              </w:rPr>
              <w:t>Unit</w:t>
            </w:r>
          </w:p>
          <w:p>
            <w:pPr>
              <w:jc w:val="center"/>
              <w:rPr>
                <w:rFonts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pPr>
              <w:jc w:val="center"/>
              <w:rPr>
                <w:rFonts w:eastAsia="仿宋" w:cs="Times New Roman"/>
                <w:szCs w:val="21"/>
              </w:rPr>
            </w:pPr>
            <w:r>
              <w:rPr>
                <w:rFonts w:eastAsia="仿宋" w:cs="Times New Roman"/>
                <w:szCs w:val="21"/>
              </w:rPr>
              <w:t>Qty</w:t>
            </w:r>
          </w:p>
          <w:p>
            <w:pPr>
              <w:jc w:val="center"/>
              <w:rPr>
                <w:rFonts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pPr>
              <w:jc w:val="center"/>
              <w:rPr>
                <w:rFonts w:eastAsia="仿宋" w:cs="Times New Roman"/>
                <w:szCs w:val="21"/>
              </w:rPr>
            </w:pPr>
            <w:r>
              <w:rPr>
                <w:rFonts w:eastAsia="仿宋" w:cs="Times New Roman"/>
                <w:szCs w:val="21"/>
              </w:rPr>
              <w:t>Unit Price单价</w:t>
            </w:r>
          </w:p>
          <w:p>
            <w:pPr>
              <w:jc w:val="center"/>
              <w:rPr>
                <w:rFonts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pPr>
              <w:jc w:val="center"/>
              <w:rPr>
                <w:rFonts w:eastAsia="仿宋" w:cs="Times New Roman"/>
                <w:szCs w:val="21"/>
              </w:rPr>
            </w:pPr>
            <w:r>
              <w:rPr>
                <w:rFonts w:eastAsia="仿宋" w:cs="Times New Roman"/>
                <w:szCs w:val="21"/>
              </w:rPr>
              <w:t>Total Price总价</w:t>
            </w:r>
          </w:p>
          <w:p>
            <w:pPr>
              <w:jc w:val="center"/>
              <w:rPr>
                <w:rFonts w:eastAsia="仿宋" w:cs="Times New Roman"/>
                <w:szCs w:val="21"/>
              </w:rPr>
            </w:pPr>
          </w:p>
        </w:tc>
      </w:tr>
      <w:tr>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pPr>
              <w:ind w:firstLine="211" w:firstLineChars="100"/>
              <w:rPr>
                <w:rFonts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pPr>
              <w:ind w:left="105" w:hanging="105" w:hangingChars="50"/>
              <w:rPr>
                <w:rFonts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pPr>
              <w:pStyle w:val="2"/>
              <w:rPr>
                <w:rFonts w:eastAsia="仿宋"/>
                <w:sz w:val="21"/>
                <w:szCs w:val="21"/>
              </w:rPr>
            </w:pPr>
            <w:r>
              <w:rPr>
                <w:rFonts w:eastAsia="仿宋"/>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pPr>
              <w:jc w:val="center"/>
              <w:rPr>
                <w:rFonts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pPr>
              <w:jc w:val="center"/>
              <w:rPr>
                <w:rFonts w:eastAsia="仿宋" w:cs="Times New Roman"/>
                <w:b/>
                <w:bCs/>
                <w:szCs w:val="21"/>
              </w:rPr>
            </w:pPr>
          </w:p>
          <w:p>
            <w:pPr>
              <w:jc w:val="center"/>
              <w:rPr>
                <w:rFonts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pPr>
              <w:rPr>
                <w:rFonts w:eastAsia="仿宋" w:cs="Times New Roman"/>
                <w:b/>
                <w:bCs/>
                <w:szCs w:val="21"/>
              </w:rPr>
            </w:pPr>
          </w:p>
        </w:tc>
      </w:tr>
      <w:tr>
        <w:tblPrEx>
          <w:tblCellMar>
            <w:top w:w="0" w:type="dxa"/>
            <w:left w:w="30" w:type="dxa"/>
            <w:bottom w:w="0" w:type="dxa"/>
            <w:right w:w="30" w:type="dxa"/>
          </w:tblCellMar>
        </w:tblPrEx>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pPr>
              <w:ind w:firstLine="211" w:firstLineChars="100"/>
              <w:rPr>
                <w:rFonts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pPr>
              <w:rPr>
                <w:rFonts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pPr>
              <w:rPr>
                <w:rFonts w:eastAsia="仿宋" w:cs="Times New Roman"/>
                <w:b/>
                <w:bCs/>
                <w:szCs w:val="21"/>
              </w:rPr>
            </w:pPr>
          </w:p>
          <w:p>
            <w:pPr>
              <w:rPr>
                <w:rFonts w:eastAsia="仿宋" w:cs="Times New Roman"/>
                <w:b/>
                <w:bCs/>
                <w:szCs w:val="21"/>
              </w:rPr>
            </w:pPr>
          </w:p>
        </w:tc>
      </w:tr>
      <w:tr>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b/>
                <w:bCs/>
                <w:szCs w:val="21"/>
              </w:rPr>
            </w:pPr>
            <w:r>
              <w:rPr>
                <w:rFonts w:eastAsia="仿宋" w:cs="Times New Roman"/>
                <w:b/>
                <w:bCs/>
                <w:szCs w:val="21"/>
              </w:rPr>
              <w:t>Total value</w:t>
            </w:r>
          </w:p>
          <w:p>
            <w:pPr>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pPr>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pPr>
              <w:rPr>
                <w:rFonts w:eastAsia="仿宋" w:cs="Times New Roman"/>
                <w:szCs w:val="21"/>
              </w:rPr>
            </w:pPr>
          </w:p>
        </w:tc>
      </w:tr>
    </w:tbl>
    <w:p>
      <w:pPr>
        <w:rPr>
          <w:rFonts w:eastAsia="仿宋" w:cs="Times New Roman"/>
          <w:b/>
          <w:szCs w:val="21"/>
          <w:lang w:eastAsia="zh-TW"/>
        </w:rPr>
      </w:pPr>
    </w:p>
    <w:p>
      <w:pPr>
        <w:numPr>
          <w:ilvl w:val="1"/>
          <w:numId w:val="8"/>
        </w:numPr>
        <w:rPr>
          <w:rFonts w:eastAsia="仿宋" w:cs="Times New Roman"/>
          <w:szCs w:val="21"/>
          <w:lang w:eastAsia="zh-TW"/>
        </w:rPr>
      </w:pP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pPr>
        <w:tabs>
          <w:tab w:val="left" w:pos="390"/>
          <w:tab w:val="left" w:pos="840"/>
        </w:tabs>
        <w:ind w:left="840"/>
        <w:rPr>
          <w:rFonts w:ascii="仿宋" w:hAnsi="仿宋" w:eastAsia="仿宋" w:cs="仿宋"/>
          <w:color w:val="000000" w:themeColor="text1"/>
          <w:szCs w:val="21"/>
          <w:lang w:eastAsia="zh-T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贸易术语：</w:t>
      </w:r>
    </w:p>
    <w:p>
      <w:pPr>
        <w:numPr>
          <w:ilvl w:val="1"/>
          <w:numId w:val="8"/>
        </w:numPr>
        <w:rPr>
          <w:rFonts w:eastAsia="仿宋" w:cs="Times New Roman"/>
          <w:szCs w:val="21"/>
          <w:lang w:eastAsia="zh-TW"/>
        </w:rPr>
      </w:pPr>
      <w:r>
        <w:rPr>
          <w:rFonts w:eastAsia="仿宋" w:cs="Times New Roman"/>
          <w:szCs w:val="21"/>
          <w:lang w:eastAsia="zh-TW"/>
        </w:rPr>
        <w:t>The brand is</w:t>
      </w:r>
      <w:r>
        <w:rPr>
          <w:rFonts w:hint="eastAsia" w:eastAsia="仿宋" w:cs="Times New Roman"/>
          <w:szCs w:val="21"/>
          <w:lang w:eastAsia="zh-TW"/>
        </w:rPr>
        <w:t>：</w:t>
      </w:r>
    </w:p>
    <w:p>
      <w:pPr>
        <w:tabs>
          <w:tab w:val="left" w:pos="390"/>
          <w:tab w:val="left" w:pos="840"/>
        </w:tabs>
        <w:ind w:left="840"/>
        <w:rPr>
          <w:rFonts w:eastAsia="仿宋" w:cs="Times New Roman"/>
          <w:szCs w:val="21"/>
          <w:lang w:eastAsia="zh-TW"/>
        </w:rPr>
      </w:pPr>
      <w:r>
        <w:rPr>
          <w:rFonts w:hint="eastAsia" w:ascii="仿宋" w:hAnsi="仿宋" w:eastAsia="仿宋"/>
          <w:color w:val="000000"/>
          <w:szCs w:val="21"/>
        </w:rPr>
        <w:t>品牌：</w:t>
      </w:r>
    </w:p>
    <w:p>
      <w:pPr>
        <w:numPr>
          <w:ilvl w:val="1"/>
          <w:numId w:val="8"/>
        </w:numPr>
        <w:rPr>
          <w:rFonts w:eastAsia="仿宋" w:cs="Times New Roman"/>
          <w:szCs w:val="21"/>
          <w:lang w:eastAsia="zh-TW"/>
        </w:rPr>
      </w:pPr>
      <w:r>
        <w:rPr>
          <w:color w:val="000000"/>
          <w:szCs w:val="21"/>
        </w:rPr>
        <w:t>The product model type is</w:t>
      </w:r>
      <w:r>
        <w:rPr>
          <w:rFonts w:hint="eastAsia" w:ascii="仿宋" w:hAnsi="仿宋" w:eastAsia="仿宋"/>
          <w:color w:val="000000"/>
          <w:szCs w:val="21"/>
        </w:rPr>
        <w:t>：</w:t>
      </w:r>
    </w:p>
    <w:p>
      <w:pPr>
        <w:tabs>
          <w:tab w:val="left" w:pos="390"/>
          <w:tab w:val="left" w:pos="840"/>
        </w:tabs>
        <w:ind w:left="840"/>
        <w:rPr>
          <w:rFonts w:eastAsia="仿宋" w:cs="Times New Roman"/>
          <w:szCs w:val="21"/>
          <w:lang w:eastAsia="zh-TW"/>
        </w:rPr>
      </w:pPr>
      <w:r>
        <w:rPr>
          <w:rFonts w:hint="eastAsia" w:ascii="仿宋" w:hAnsi="仿宋" w:eastAsia="仿宋"/>
          <w:color w:val="000000"/>
          <w:szCs w:val="21"/>
        </w:rPr>
        <w:t>产品型号：</w:t>
      </w:r>
    </w:p>
    <w:p>
      <w:pPr>
        <w:numPr>
          <w:ilvl w:val="1"/>
          <w:numId w:val="8"/>
        </w:numPr>
        <w:rPr>
          <w:rFonts w:eastAsia="仿宋" w:cs="Times New Roman"/>
          <w:szCs w:val="21"/>
          <w:lang w:eastAsia="zh-TW"/>
        </w:rPr>
      </w:pPr>
      <w:r>
        <w:rPr>
          <w:rFonts w:hint="eastAsia" w:eastAsia="仿宋" w:cs="Times New Roman"/>
          <w:szCs w:val="21"/>
          <w:lang w:eastAsia="zh-TW"/>
        </w:rPr>
        <w:t>The county of origin is：</w:t>
      </w:r>
    </w:p>
    <w:p>
      <w:pPr>
        <w:tabs>
          <w:tab w:val="left" w:pos="390"/>
          <w:tab w:val="left" w:pos="840"/>
        </w:tabs>
        <w:ind w:left="840"/>
        <w:rPr>
          <w:rFonts w:ascii="仿宋" w:hAnsi="仿宋" w:eastAsia="仿宋" w:cs="Times New Roman"/>
          <w:szCs w:val="21"/>
          <w:lang w:eastAsia="zh-TW"/>
        </w:rPr>
      </w:pPr>
      <w:r>
        <w:rPr>
          <w:rFonts w:hint="eastAsia" w:ascii="仿宋" w:hAnsi="仿宋" w:eastAsia="仿宋" w:cs="Times New Roman"/>
          <w:szCs w:val="21"/>
          <w:lang w:eastAsia="zh-TW"/>
        </w:rPr>
        <w:t>原产国：</w:t>
      </w:r>
    </w:p>
    <w:p>
      <w:pPr>
        <w:numPr>
          <w:ilvl w:val="1"/>
          <w:numId w:val="8"/>
        </w:numPr>
        <w:rPr>
          <w:rFonts w:eastAsia="仿宋" w:cs="Times New Roman"/>
          <w:szCs w:val="21"/>
          <w:lang w:eastAsia="zh-TW"/>
        </w:rPr>
      </w:pPr>
      <w:r>
        <w:rPr>
          <w:rFonts w:eastAsia="仿宋" w:cs="Times New Roman"/>
          <w:szCs w:val="21"/>
          <w:lang w:eastAsia="zh-TW"/>
        </w:rPr>
        <w:t xml:space="preserve">The import port is:   </w:t>
      </w:r>
    </w:p>
    <w:p>
      <w:pPr>
        <w:tabs>
          <w:tab w:val="left" w:pos="390"/>
          <w:tab w:val="left" w:pos="840"/>
        </w:tabs>
        <w:ind w:left="840"/>
        <w:rPr>
          <w:rFonts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pPr>
        <w:tabs>
          <w:tab w:val="left" w:pos="390"/>
          <w:tab w:val="left" w:pos="840"/>
        </w:tabs>
        <w:ind w:left="840"/>
        <w:rPr>
          <w:rFonts w:eastAsia="仿宋" w:cs="Times New Roman"/>
          <w:b/>
          <w:i/>
          <w:iCs/>
          <w:sz w:val="24"/>
          <w:szCs w:val="24"/>
          <w:lang w:eastAsia="zh-TW"/>
        </w:rPr>
      </w:pPr>
    </w:p>
    <w:p>
      <w:pPr>
        <w:tabs>
          <w:tab w:val="left" w:pos="390"/>
          <w:tab w:val="left" w:pos="840"/>
        </w:tabs>
        <w:ind w:left="840"/>
        <w:rPr>
          <w:rFonts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Parties agree to clear customs at the Zhangjinzongbao Port.</w:t>
      </w:r>
    </w:p>
    <w:p>
      <w:pPr>
        <w:tabs>
          <w:tab w:val="left" w:pos="390"/>
          <w:tab w:val="left" w:pos="840"/>
        </w:tabs>
        <w:ind w:left="840"/>
        <w:rPr>
          <w:rFonts w:eastAsia="PMingLiU" w:cs="Times New Roman"/>
          <w:szCs w:val="21"/>
          <w:lang w:eastAsia="zh-TW"/>
        </w:rPr>
      </w:pPr>
      <w:r>
        <w:rPr>
          <w:rFonts w:hint="eastAsia" w:eastAsia="仿宋" w:cs="Times New Roman"/>
          <w:szCs w:val="21"/>
          <w:lang w:eastAsia="zh-TW"/>
        </w:rPr>
        <w:t>如货物为免税货物，三方同意在章锦综保口岸办理清关手续。</w:t>
      </w:r>
    </w:p>
    <w:p>
      <w:pPr>
        <w:tabs>
          <w:tab w:val="left" w:pos="390"/>
          <w:tab w:val="left" w:pos="840"/>
        </w:tabs>
        <w:rPr>
          <w:rFonts w:cs="Times New Roman"/>
          <w:szCs w:val="21"/>
        </w:rPr>
      </w:pPr>
      <w:r>
        <w:rPr>
          <w:rFonts w:hint="eastAsia" w:cs="Times New Roman"/>
          <w:szCs w:val="21"/>
        </w:rPr>
        <w:t xml:space="preserve"> </w:t>
      </w:r>
      <w:r>
        <w:rPr>
          <w:rFonts w:cs="Times New Roman"/>
          <w:szCs w:val="21"/>
        </w:rPr>
        <w:t xml:space="preserve">  </w:t>
      </w:r>
    </w:p>
    <w:p>
      <w:pPr>
        <w:numPr>
          <w:ilvl w:val="1"/>
          <w:numId w:val="8"/>
        </w:numPr>
        <w:rPr>
          <w:rFonts w:eastAsia="仿宋" w:cs="Times New Roman"/>
          <w:szCs w:val="21"/>
          <w:lang w:eastAsia="zh-TW"/>
        </w:rPr>
      </w:pP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pPr>
        <w:ind w:left="840" w:leftChars="400"/>
        <w:rPr>
          <w:rFonts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pPr>
        <w:pStyle w:val="125"/>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eastAsia="PMingLiU" w:cs="Times New Roman"/>
          <w:b/>
          <w:szCs w:val="21"/>
          <w:lang w:eastAsia="zh-TW"/>
        </w:rPr>
      </w:pPr>
    </w:p>
    <w:p>
      <w:pPr>
        <w:ind w:left="420"/>
        <w:rPr>
          <w:rFonts w:eastAsia="仿宋" w:cs="Times New Roman"/>
          <w:b/>
          <w:szCs w:val="21"/>
          <w:lang w:eastAsia="zh-TW"/>
        </w:rPr>
      </w:pPr>
    </w:p>
    <w:p>
      <w:pPr>
        <w:rPr>
          <w:rFonts w:eastAsia="仿宋" w:cs="Times New Roman"/>
          <w:b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sz w:val="24"/>
          <w:szCs w:val="24"/>
          <w:lang w:eastAsia="zh-TW"/>
        </w:rPr>
        <w:t>（</w:t>
      </w:r>
      <w:r>
        <w:rPr>
          <w:rFonts w:eastAsia="仿宋" w:cs="Times New Roman"/>
          <w:b/>
          <w:sz w:val="24"/>
          <w:szCs w:val="24"/>
          <w:lang w:eastAsia="zh-TW"/>
        </w:rPr>
        <w:t>FOB.CFR.CIF. CIP.CPT</w:t>
      </w:r>
      <w:r>
        <w:rPr>
          <w:rFonts w:hint="eastAsia" w:eastAsia="仿宋" w:cs="Times New Roman"/>
          <w:b/>
          <w:sz w:val="24"/>
          <w:szCs w:val="24"/>
          <w:lang w:eastAsia="zh-TW"/>
        </w:rPr>
        <w:t>适用）</w:t>
      </w:r>
    </w:p>
    <w:p>
      <w:pPr>
        <w:rPr>
          <w:rFonts w:eastAsia="仿宋" w:cs="Times New Roman"/>
          <w:szCs w:val="21"/>
          <w:lang w:eastAsia="zh-TW"/>
        </w:rPr>
      </w:pPr>
    </w:p>
    <w:p>
      <w:pPr>
        <w:ind w:firstLine="420" w:firstLineChars="200"/>
        <w:rPr>
          <w:rFonts w:eastAsia="仿宋" w:cs="Times New Roman"/>
          <w:szCs w:val="21"/>
          <w:lang w:eastAsia="zh-TW"/>
        </w:rPr>
      </w:pPr>
      <w:r>
        <w:rPr>
          <w:rFonts w:eastAsia="仿宋" w:cs="Times New Roman"/>
          <w:szCs w:val="21"/>
          <w:lang w:eastAsia="zh-TW"/>
        </w:rPr>
        <w:t>The loading port of the Commodities shall be ********** Seaport /Airport.</w:t>
      </w:r>
    </w:p>
    <w:p>
      <w:pPr>
        <w:ind w:firstLine="420" w:firstLineChars="200"/>
        <w:rPr>
          <w:rFonts w:eastAsia="仿宋" w:cs="Times New Roman"/>
          <w:szCs w:val="21"/>
        </w:rPr>
      </w:pPr>
      <w:r>
        <w:rPr>
          <w:rFonts w:eastAsia="仿宋" w:cs="Times New Roman"/>
          <w:szCs w:val="21"/>
        </w:rPr>
        <w:t>货物的装运港口为**********港口</w:t>
      </w:r>
      <w:r>
        <w:rPr>
          <w:rFonts w:hint="eastAsia" w:eastAsia="仿宋" w:cs="Times New Roman"/>
          <w:szCs w:val="21"/>
        </w:rPr>
        <w:t>/机场</w:t>
      </w:r>
      <w:r>
        <w:rPr>
          <w:rFonts w:eastAsia="仿宋" w:cs="Times New Roman"/>
          <w:szCs w:val="21"/>
        </w:rPr>
        <w:t>。</w:t>
      </w:r>
    </w:p>
    <w:p>
      <w:pPr>
        <w:rPr>
          <w:rFonts w:eastAsia="仿宋" w:cs="Times New Roman"/>
          <w:szCs w:val="21"/>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sz w:val="24"/>
          <w:szCs w:val="24"/>
        </w:rPr>
        <w:t>（</w:t>
      </w:r>
      <w:r>
        <w:rPr>
          <w:rFonts w:eastAsia="仿宋" w:cs="Times New Roman"/>
          <w:b/>
          <w:sz w:val="24"/>
          <w:szCs w:val="24"/>
        </w:rPr>
        <w:t>FOB.CFR.CIF. CIP.CPT</w:t>
      </w:r>
      <w:r>
        <w:rPr>
          <w:rFonts w:hint="eastAsia" w:eastAsia="仿宋" w:cs="Times New Roman"/>
          <w:b/>
          <w:sz w:val="24"/>
          <w:szCs w:val="24"/>
        </w:rPr>
        <w:t>适用）</w:t>
      </w:r>
    </w:p>
    <w:p>
      <w:pPr>
        <w:rPr>
          <w:rFonts w:eastAsia="仿宋" w:cs="Times New Roman"/>
          <w:b/>
          <w:szCs w:val="21"/>
          <w:lang w:eastAsia="zh-TW"/>
        </w:rPr>
      </w:pPr>
    </w:p>
    <w:p>
      <w:pPr>
        <w:ind w:left="420" w:leftChars="20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eastAsia="仿宋" w:cs="Times New Roman"/>
          <w:szCs w:val="21"/>
        </w:rPr>
        <w:t>********** Seaport/A</w:t>
      </w:r>
      <w:r>
        <w:rPr>
          <w:rFonts w:hint="eastAsia" w:eastAsia="仿宋" w:cs="Times New Roman"/>
          <w:szCs w:val="21"/>
        </w:rPr>
        <w:t>irport, the PRC</w:t>
      </w:r>
      <w:r>
        <w:rPr>
          <w:rFonts w:eastAsia="仿宋" w:cs="Times New Roman"/>
          <w:szCs w:val="21"/>
        </w:rPr>
        <w:t>.</w:t>
      </w:r>
    </w:p>
    <w:p>
      <w:pPr>
        <w:ind w:left="420" w:leftChars="200"/>
        <w:rPr>
          <w:rFonts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，货物的目的港为中国**********港</w:t>
      </w:r>
      <w:r>
        <w:rPr>
          <w:rFonts w:hint="eastAsia" w:eastAsia="仿宋" w:cs="Times New Roman"/>
          <w:szCs w:val="21"/>
        </w:rPr>
        <w:t>/机场</w:t>
      </w:r>
      <w:r>
        <w:rPr>
          <w:rFonts w:eastAsia="仿宋" w:cs="Times New Roman"/>
          <w:szCs w:val="21"/>
        </w:rPr>
        <w:t>。</w:t>
      </w:r>
    </w:p>
    <w:p>
      <w:pPr>
        <w:ind w:left="420" w:leftChars="200"/>
        <w:rPr>
          <w:rFonts w:eastAsia="仿宋" w:cs="Times New Roman"/>
          <w:szCs w:val="21"/>
        </w:rPr>
      </w:pPr>
    </w:p>
    <w:p>
      <w:pPr>
        <w:rPr>
          <w:rFonts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sz w:val="24"/>
          <w:szCs w:val="24"/>
        </w:rPr>
        <w:t>（FCA.DAP.DDP术语适用）</w:t>
      </w:r>
    </w:p>
    <w:p>
      <w:pPr>
        <w:ind w:firstLine="422" w:firstLineChars="200"/>
        <w:rPr>
          <w:rFonts w:eastAsia="仿宋" w:cs="Times New Roman"/>
          <w:b/>
          <w:szCs w:val="21"/>
        </w:rPr>
      </w:pPr>
    </w:p>
    <w:p>
      <w:pPr>
        <w:ind w:firstLine="422" w:firstLineChars="200"/>
        <w:rPr>
          <w:rFonts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 **********</w:t>
      </w:r>
    </w:p>
    <w:p>
      <w:pPr>
        <w:ind w:firstLine="422" w:firstLineChars="200"/>
        <w:rPr>
          <w:rFonts w:eastAsia="仿宋" w:cs="Times New Roman"/>
          <w:b/>
          <w:szCs w:val="21"/>
        </w:rPr>
      </w:pPr>
    </w:p>
    <w:p>
      <w:pPr>
        <w:ind w:firstLine="422" w:firstLineChars="200"/>
        <w:rPr>
          <w:rFonts w:eastAsia="仿宋" w:cs="Times New Roman"/>
          <w:b/>
          <w:szCs w:val="21"/>
        </w:rPr>
      </w:pPr>
      <w:r>
        <w:rPr>
          <w:rFonts w:hint="eastAsia" w:eastAsia="仿宋" w:cs="Times New Roman"/>
          <w:b/>
          <w:szCs w:val="21"/>
        </w:rPr>
        <w:t>货物的交货地为：</w:t>
      </w:r>
    </w:p>
    <w:p>
      <w:pPr>
        <w:ind w:left="420" w:leftChars="200"/>
        <w:rPr>
          <w:rFonts w:eastAsia="仿宋" w:cs="Times New Roman"/>
          <w:szCs w:val="21"/>
        </w:rPr>
      </w:pPr>
    </w:p>
    <w:p>
      <w:pPr>
        <w:rPr>
          <w:rFonts w:eastAsia="仿宋" w:cs="Times New Roman"/>
          <w:b/>
          <w:szCs w:val="21"/>
        </w:rPr>
      </w:pPr>
    </w:p>
    <w:p>
      <w:pPr>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pPr>
        <w:rPr>
          <w:rFonts w:eastAsia="仿宋" w:cs="Times New Roman"/>
          <w:b/>
          <w:szCs w:val="21"/>
          <w:lang w:eastAsia="zh-TW"/>
        </w:rPr>
      </w:pPr>
    </w:p>
    <w:p>
      <w:pPr>
        <w:ind w:left="420" w:leftChars="200"/>
        <w:rPr>
          <w:rFonts w:eastAsia="仿宋" w:cs="Times New Roman"/>
          <w:b/>
          <w:sz w:val="24"/>
          <w:szCs w:val="24"/>
        </w:rPr>
      </w:pPr>
      <w:r>
        <w:rPr>
          <w:rFonts w:hint="eastAsia" w:eastAsia="仿宋" w:cs="Times New Roman"/>
          <w:b/>
          <w:i/>
          <w:iCs/>
          <w:sz w:val="24"/>
          <w:szCs w:val="24"/>
        </w:rPr>
        <w:t>（E</w:t>
      </w:r>
      <w:r>
        <w:rPr>
          <w:rFonts w:eastAsia="仿宋" w:cs="Times New Roman"/>
          <w:b/>
          <w:i/>
          <w:iCs/>
          <w:sz w:val="24"/>
          <w:szCs w:val="24"/>
        </w:rPr>
        <w:t>XW</w:t>
      </w:r>
      <w:r>
        <w:rPr>
          <w:rFonts w:hint="eastAsia" w:eastAsia="仿宋" w:cs="Times New Roman"/>
          <w:b/>
          <w:i/>
          <w:iCs/>
          <w:sz w:val="24"/>
          <w:szCs w:val="24"/>
        </w:rPr>
        <w:t>.</w:t>
      </w:r>
      <w:r>
        <w:rPr>
          <w:rFonts w:eastAsia="仿宋" w:cs="Times New Roman"/>
          <w:b/>
          <w:i/>
          <w:iCs/>
          <w:sz w:val="24"/>
          <w:szCs w:val="24"/>
        </w:rPr>
        <w:t xml:space="preserve"> FCA</w:t>
      </w:r>
      <w:r>
        <w:rPr>
          <w:rFonts w:hint="eastAsia" w:eastAsia="仿宋" w:cs="Times New Roman"/>
          <w:b/>
          <w:i/>
          <w:iCs/>
          <w:sz w:val="24"/>
          <w:szCs w:val="24"/>
        </w:rPr>
        <w:t>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 **</w:t>
      </w:r>
      <w:r>
        <w:rPr>
          <w:rFonts w:hint="eastAsia" w:eastAsia="仿宋" w:cs="Times New Roman"/>
          <w:szCs w:val="21"/>
        </w:rPr>
        <w:t>.</w:t>
      </w:r>
      <w:r>
        <w:rPr>
          <w:rFonts w:eastAsia="仿宋" w:cs="Times New Roman"/>
          <w:szCs w:val="21"/>
        </w:rPr>
        <w:t xml:space="preserve"> **  .</w:t>
      </w:r>
    </w:p>
    <w:p>
      <w:pPr>
        <w:ind w:left="420" w:leftChars="200"/>
        <w:rPr>
          <w:rFonts w:eastAsia="仿宋" w:cs="Times New Roman"/>
          <w:szCs w:val="21"/>
        </w:rPr>
      </w:pPr>
      <w:r>
        <w:rPr>
          <w:rFonts w:eastAsia="仿宋" w:cs="Times New Roman"/>
          <w:szCs w:val="21"/>
        </w:rPr>
        <w:t>所有货物必须在**年**月**日前</w:t>
      </w:r>
      <w:r>
        <w:rPr>
          <w:rFonts w:hint="eastAsia" w:eastAsia="仿宋" w:cs="Times New Roman"/>
          <w:szCs w:val="21"/>
        </w:rPr>
        <w:t>交货</w:t>
      </w:r>
      <w:r>
        <w:rPr>
          <w:rFonts w:eastAsia="仿宋" w:cs="Times New Roman"/>
          <w:szCs w:val="21"/>
        </w:rPr>
        <w:t>。</w:t>
      </w:r>
    </w:p>
    <w:p>
      <w:pPr>
        <w:ind w:left="420" w:leftChars="200"/>
        <w:rPr>
          <w:rFonts w:eastAsia="仿宋" w:cs="Times New Roman"/>
          <w:szCs w:val="21"/>
        </w:rPr>
      </w:pPr>
      <w:r>
        <w:rPr>
          <w:rFonts w:hint="eastAsia" w:eastAsia="仿宋" w:cs="Times New Roman"/>
          <w:b/>
          <w:i/>
          <w:iCs/>
          <w:sz w:val="24"/>
          <w:szCs w:val="24"/>
        </w:rPr>
        <w:t>（F</w:t>
      </w:r>
      <w:r>
        <w:rPr>
          <w:rFonts w:eastAsia="仿宋" w:cs="Times New Roman"/>
          <w:b/>
          <w:i/>
          <w:iCs/>
          <w:sz w:val="24"/>
          <w:szCs w:val="24"/>
        </w:rPr>
        <w:t>OB</w:t>
      </w:r>
      <w:r>
        <w:rPr>
          <w:rFonts w:hint="eastAsia" w:eastAsia="仿宋" w:cs="Times New Roman"/>
          <w:b/>
          <w:i/>
          <w:iCs/>
          <w:sz w:val="24"/>
          <w:szCs w:val="24"/>
        </w:rPr>
        <w:t>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pPr>
        <w:ind w:left="420" w:leftChars="200"/>
        <w:rPr>
          <w:rFonts w:eastAsia="仿宋" w:cs="Times New Roman"/>
          <w:szCs w:val="21"/>
        </w:rPr>
      </w:pPr>
      <w:r>
        <w:rPr>
          <w:rFonts w:eastAsia="仿宋" w:cs="Times New Roman"/>
          <w:szCs w:val="21"/>
        </w:rPr>
        <w:t>所有货物必须在**年**月**日前装船。</w:t>
      </w:r>
      <w:r>
        <w:rPr>
          <w:rFonts w:hint="eastAsia" w:eastAsia="仿宋" w:cs="Times New Roman"/>
          <w:szCs w:val="21"/>
        </w:rPr>
        <w:t xml:space="preserve"> </w:t>
      </w:r>
      <w:r>
        <w:rPr>
          <w:rFonts w:eastAsia="仿宋" w:cs="Times New Roman"/>
          <w:szCs w:val="21"/>
        </w:rPr>
        <w:t xml:space="preserve">                </w:t>
      </w:r>
    </w:p>
    <w:p>
      <w:pPr>
        <w:ind w:left="420" w:leftChars="200"/>
        <w:rPr>
          <w:rFonts w:eastAsia="仿宋" w:cs="Times New Roman"/>
          <w:szCs w:val="21"/>
        </w:rPr>
      </w:pPr>
      <w:r>
        <w:rPr>
          <w:rFonts w:hint="eastAsia" w:eastAsia="仿宋" w:cs="Times New Roman"/>
          <w:b/>
          <w:i/>
          <w:iCs/>
          <w:sz w:val="24"/>
          <w:szCs w:val="24"/>
        </w:rPr>
        <w:t>（</w:t>
      </w:r>
      <w:r>
        <w:rPr>
          <w:rFonts w:eastAsia="仿宋" w:cs="Times New Roman"/>
          <w:b/>
          <w:i/>
          <w:iCs/>
          <w:sz w:val="24"/>
          <w:szCs w:val="24"/>
        </w:rPr>
        <w:t>CIF.CFR.CIP.CPT</w:t>
      </w:r>
      <w:r>
        <w:rPr>
          <w:rFonts w:hint="eastAsia" w:eastAsia="仿宋" w:cs="Times New Roman"/>
          <w:b/>
          <w:i/>
          <w:iCs/>
          <w:sz w:val="24"/>
          <w:szCs w:val="24"/>
        </w:rPr>
        <w:t>适用）</w:t>
      </w:r>
      <w:r>
        <w:rPr>
          <w:rFonts w:eastAsia="仿宋" w:cs="Times New Roman"/>
          <w:szCs w:val="21"/>
        </w:rPr>
        <w:t>All the Commodities shall arrive at Seaport</w:t>
      </w:r>
      <w:r>
        <w:rPr>
          <w:rFonts w:hint="eastAsia" w:eastAsia="仿宋" w:cs="Times New Roman"/>
          <w:szCs w:val="21"/>
        </w:rPr>
        <w:t>/</w:t>
      </w:r>
      <w:r>
        <w:rPr>
          <w:rFonts w:eastAsia="仿宋" w:cs="Times New Roman"/>
          <w:szCs w:val="21"/>
        </w:rPr>
        <w:t>Airport before **. **,.</w:t>
      </w:r>
    </w:p>
    <w:p>
      <w:pPr>
        <w:ind w:firstLine="435"/>
        <w:rPr>
          <w:rFonts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pPr>
        <w:ind w:firstLine="435"/>
        <w:rPr>
          <w:rFonts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within【】days after arrival of the Commodities at the factory of the</w:t>
      </w:r>
      <w:r>
        <w:rPr>
          <w:rFonts w:eastAsia="仿宋" w:cs="Times New Roman"/>
          <w:szCs w:val="21"/>
        </w:rPr>
        <w:t xml:space="preserve"> Enduser</w:t>
      </w:r>
      <w:r>
        <w:rPr>
          <w:rFonts w:hint="eastAsia" w:eastAsia="仿宋" w:cs="Times New Roman"/>
          <w:szCs w:val="21"/>
        </w:rPr>
        <w:t>.</w:t>
      </w:r>
    </w:p>
    <w:p>
      <w:pPr>
        <w:ind w:firstLine="435"/>
        <w:rPr>
          <w:rFonts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pPr>
        <w:ind w:firstLine="435"/>
        <w:rPr>
          <w:rFonts w:eastAsia="仿宋" w:cs="Times New Roman"/>
          <w:szCs w:val="21"/>
        </w:rPr>
      </w:pPr>
      <w:r>
        <w:rPr>
          <w:rFonts w:hint="eastAsia" w:eastAsia="仿宋" w:cs="Times New Roman"/>
          <w:szCs w:val="21"/>
        </w:rPr>
        <w:t xml:space="preserve"> </w:t>
      </w:r>
    </w:p>
    <w:p>
      <w:pPr>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pPr>
        <w:ind w:left="2975"/>
        <w:rPr>
          <w:rFonts w:eastAsia="仿宋" w:cs="Times New Roman"/>
          <w:b/>
          <w:szCs w:val="21"/>
        </w:rPr>
      </w:pPr>
    </w:p>
    <w:p>
      <w:pPr>
        <w:ind w:left="420" w:leftChars="200"/>
        <w:rPr>
          <w:rFonts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pPr>
        <w:ind w:left="420" w:leftChars="200"/>
        <w:rPr>
          <w:rFonts w:eastAsia="仿宋" w:cs="Times New Roman"/>
          <w:b w:val="0"/>
          <w:szCs w:val="21"/>
        </w:rPr>
      </w:pPr>
    </w:p>
    <w:p>
      <w:pPr>
        <w:ind w:left="420" w:leftChars="200"/>
        <w:rPr>
          <w:rFonts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pPr>
        <w:ind w:left="420" w:leftChars="200"/>
        <w:rPr>
          <w:rFonts w:eastAsia="仿宋" w:cs="Times New Roman"/>
          <w:szCs w:val="21"/>
        </w:rPr>
      </w:pPr>
    </w:p>
    <w:p>
      <w:pPr>
        <w:ind w:left="420" w:leftChars="200"/>
        <w:rPr>
          <w:rFonts w:eastAsia="仿宋" w:cs="Times New Roman"/>
          <w:szCs w:val="21"/>
        </w:rPr>
      </w:pPr>
    </w:p>
    <w:p>
      <w:pPr>
        <w:rPr>
          <w:rFonts w:eastAsia="仿宋" w:cs="Times New Roman"/>
          <w:szCs w:val="21"/>
        </w:rPr>
      </w:pPr>
    </w:p>
    <w:p>
      <w:pPr>
        <w:rPr>
          <w:rFonts w:eastAsia="仿宋" w:cs="Times New Roman"/>
          <w:szCs w:val="21"/>
        </w:rPr>
      </w:pPr>
    </w:p>
    <w:p>
      <w:pPr>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pPr>
        <w:rPr>
          <w:rFonts w:eastAsia="仿宋" w:cs="Times New Roman"/>
          <w:b/>
          <w:szCs w:val="21"/>
        </w:rPr>
      </w:pPr>
    </w:p>
    <w:p>
      <w:pPr>
        <w:ind w:left="420" w:leftChars="200"/>
        <w:rPr>
          <w:rFonts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XXXX.</w:t>
      </w:r>
    </w:p>
    <w:p>
      <w:pPr>
        <w:ind w:left="420" w:leftChars="200"/>
        <w:rPr>
          <w:rFonts w:eastAsia="仿宋" w:cs="Times New Roman"/>
          <w:szCs w:val="21"/>
        </w:rPr>
      </w:pPr>
      <w:r>
        <w:rPr>
          <w:rFonts w:eastAsia="仿宋" w:cs="Times New Roman"/>
          <w:szCs w:val="21"/>
        </w:rPr>
        <w:t>卖方供给买方的货物由</w:t>
      </w:r>
      <w:r>
        <w:rPr>
          <w:rFonts w:hint="eastAsia" w:eastAsia="仿宋" w:cs="Times New Roman"/>
          <w:szCs w:val="21"/>
        </w:rPr>
        <w:t>XXXX</w:t>
      </w:r>
      <w:r>
        <w:rPr>
          <w:rFonts w:eastAsia="仿宋" w:cs="Times New Roman"/>
          <w:szCs w:val="21"/>
        </w:rPr>
        <w:t>生产。</w:t>
      </w:r>
    </w:p>
    <w:p>
      <w:pPr>
        <w:rPr>
          <w:rFonts w:eastAsia="仿宋" w:cs="Times New Roman"/>
          <w:szCs w:val="21"/>
        </w:rPr>
      </w:pPr>
    </w:p>
    <w:p>
      <w:pPr>
        <w:rPr>
          <w:rFonts w:eastAsia="仿宋" w:cs="Times New Roman"/>
          <w:szCs w:val="21"/>
        </w:rPr>
      </w:pPr>
    </w:p>
    <w:p>
      <w:pPr>
        <w:pStyle w:val="11"/>
        <w:spacing w:after="156" w:line="240" w:lineRule="auto"/>
        <w:rPr>
          <w:rFonts w:eastAsia="仿宋"/>
          <w:lang w:eastAsia="zh-TW"/>
        </w:rPr>
      </w:pPr>
      <w:r>
        <w:rPr>
          <w:rFonts w:eastAsia="仿宋"/>
          <w:b/>
          <w:szCs w:val="24"/>
          <w:lang w:eastAsia="zh-TW"/>
        </w:rPr>
        <w:t>8.</w:t>
      </w:r>
      <w:r>
        <w:rPr>
          <w:rFonts w:eastAsia="仿宋"/>
          <w:b/>
          <w:szCs w:val="24"/>
          <w:lang w:eastAsia="zh-TW"/>
        </w:rPr>
        <w:tab/>
      </w:r>
      <w:r>
        <w:rPr>
          <w:rFonts w:eastAsia="仿宋"/>
          <w:b/>
          <w:szCs w:val="24"/>
        </w:rPr>
        <w:t>PACKING包装</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zCs w:val="21"/>
        </w:rPr>
        <w:t xml:space="preserve"> export 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Distinct part numbers of the Buyer, part names, quantity, batch mark, date of production and place of production shall be shown on the label. The Seller shall mark on each package with fadeless paint the package number, description, gross weight, net weight, measurement and the words: "KEEP AWAY FROM MOISTURE" "HANDLE WITH CARE", "THIS SIDE UP" etc. and the shipping mark</w:t>
      </w:r>
      <w:r>
        <w:rPr>
          <w:rFonts w:eastAsia="仿宋" w:cs="Times New Roman"/>
          <w:szCs w:val="21"/>
          <w:lang w:val="en-GB" w:eastAsia="zh-TW"/>
        </w:rPr>
        <w:t>，</w:t>
      </w:r>
      <w:r>
        <w:rPr>
          <w:rFonts w:eastAsia="仿宋" w:cs="Times New Roman"/>
          <w:szCs w:val="21"/>
          <w:lang w:eastAsia="zh-TW"/>
        </w:rPr>
        <w:t>which is composed of CONTRACT No. and words “JINAN, CHINA”. At any time, the Buyer may request different labeling and/or packing from the Seller’s standard export labeling and packing. .</w:t>
      </w:r>
    </w:p>
    <w:p>
      <w:pPr>
        <w:pStyle w:val="11"/>
        <w:spacing w:after="156" w:line="240" w:lineRule="auto"/>
        <w:ind w:left="477" w:hanging="476" w:hangingChars="227"/>
        <w:rPr>
          <w:rFonts w:eastAsia="仿宋"/>
          <w:lang w:eastAsia="zh-TW"/>
        </w:rPr>
      </w:pPr>
    </w:p>
    <w:p>
      <w:pPr>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ascii="Arial" w:hAnsi="宋体" w:eastAsia="楷体_GB2312"/>
          <w:color w:val="000000"/>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海运出口运输标准的包装并且防雨防潮。</w:t>
      </w:r>
      <w:r>
        <w:rPr>
          <w:rFonts w:hint="eastAsia" w:eastAsia="仿宋" w:cs="Times New Roman"/>
          <w:szCs w:val="21"/>
        </w:rPr>
        <w:t>标签上须有明显的买方件号、件名、数量及批号标识和生产日期、发运地等。卖方应以不褪色颜料在每个装箱上标明装箱编号，品名、毛重，净重，尺码及“保持干燥”，“小心轻放”，“此端向上”等字样以及唛头, 唛头由合同号与“ JINAN, CHINA”字样组成。买方可随时要求卖方提供不同于卖方标准出口标识和包装的标识和包装。</w:t>
      </w:r>
    </w:p>
    <w:p>
      <w:pPr>
        <w:ind w:left="420" w:hanging="420" w:hangingChars="20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148" w:name="_Hlk110350048"/>
      <w:r>
        <w:rPr>
          <w:rFonts w:eastAsia="仿宋" w:cs="Times New Roman"/>
          <w:szCs w:val="21"/>
        </w:rPr>
        <w:t>Commodities</w:t>
      </w:r>
      <w:bookmarkEnd w:id="148"/>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pPr>
        <w:ind w:left="420" w:hanging="420" w:hangingChars="200"/>
        <w:rPr>
          <w:rFonts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pPr>
        <w:numPr>
          <w:ilvl w:val="1"/>
          <w:numId w:val="9"/>
        </w:numPr>
        <w:tabs>
          <w:tab w:val="left" w:pos="420"/>
          <w:tab w:val="clear" w:pos="360"/>
        </w:tabs>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pPr>
        <w:ind w:left="315" w:hanging="315" w:hangingChars="150"/>
        <w:rPr>
          <w:rFonts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pPr>
        <w:ind w:left="420" w:hanging="420" w:hangingChars="200"/>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pPr>
        <w:ind w:left="426" w:hanging="426"/>
        <w:rPr>
          <w:rFonts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pPr>
        <w:ind w:left="426" w:hanging="426"/>
        <w:rPr>
          <w:rFonts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pPr>
        <w:tabs>
          <w:tab w:val="left" w:pos="360"/>
        </w:tabs>
        <w:ind w:left="422" w:hanging="422" w:hangingChars="200"/>
        <w:rPr>
          <w:rFonts w:eastAsia="仿宋" w:cs="Times New Roman"/>
          <w:b/>
          <w:sz w:val="24"/>
          <w:szCs w:val="24"/>
        </w:rPr>
      </w:pPr>
      <w:r>
        <w:rPr>
          <w:rFonts w:eastAsia="仿宋" w:cs="Times New Roman"/>
          <w:b/>
          <w:szCs w:val="21"/>
        </w:rPr>
        <w:t>8.6 After the</w:t>
      </w:r>
      <w:r>
        <w:rPr>
          <w:rFonts w:eastAsia="仿宋" w:cs="Times New Roman"/>
          <w:szCs w:val="21"/>
          <w:lang w:eastAsia="zh-TW"/>
        </w:rPr>
        <w:t xml:space="preserve"> Commodities</w:t>
      </w:r>
      <w:r>
        <w:rPr>
          <w:rFonts w:eastAsia="仿宋" w:cs="Times New Roman"/>
          <w:b/>
          <w:szCs w:val="21"/>
        </w:rPr>
        <w:t xml:space="preserve"> arrive at the</w:t>
      </w:r>
      <w:r>
        <w:rPr>
          <w:rFonts w:hint="eastAsia" w:eastAsia="仿宋" w:cs="Times New Roman"/>
          <w:b/>
          <w:szCs w:val="21"/>
        </w:rPr>
        <w:t xml:space="preserve"> </w:t>
      </w:r>
      <w:r>
        <w:rPr>
          <w:rFonts w:eastAsia="仿宋" w:cs="Times New Roman"/>
          <w:b/>
          <w:szCs w:val="21"/>
        </w:rPr>
        <w:t xml:space="preserve">Buyer's </w:t>
      </w:r>
      <w:r>
        <w:rPr>
          <w:rFonts w:hint="eastAsia" w:eastAsia="仿宋" w:cs="Times New Roman"/>
          <w:b/>
          <w:szCs w:val="21"/>
        </w:rPr>
        <w:t>or the</w:t>
      </w:r>
      <w:r>
        <w:rPr>
          <w:rFonts w:eastAsia="仿宋" w:cs="Times New Roman"/>
          <w:b/>
          <w:szCs w:val="21"/>
        </w:rPr>
        <w:t xml:space="preserve"> Enduser's</w:t>
      </w:r>
      <w:r>
        <w:rPr>
          <w:rFonts w:hint="eastAsia" w:eastAsia="仿宋" w:cs="Times New Roman"/>
          <w:b/>
          <w:szCs w:val="21"/>
        </w:rPr>
        <w:t xml:space="preserve"> </w:t>
      </w:r>
      <w:r>
        <w:rPr>
          <w:rFonts w:eastAsia="仿宋" w:cs="Times New Roman"/>
          <w:b/>
          <w:szCs w:val="21"/>
        </w:rPr>
        <w:t xml:space="preserve">factory, the Seller may initiate a claim under Article 16 for any loss of the </w:t>
      </w:r>
      <w:r>
        <w:rPr>
          <w:rFonts w:eastAsia="仿宋" w:cs="Times New Roman"/>
          <w:szCs w:val="21"/>
          <w:lang w:eastAsia="zh-TW"/>
        </w:rPr>
        <w:t>Commodities, notwithstanding any absence of</w:t>
      </w:r>
      <w:r>
        <w:rPr>
          <w:rFonts w:eastAsia="仿宋" w:cs="Times New Roman"/>
          <w:b/>
          <w:szCs w:val="21"/>
        </w:rPr>
        <w:t xml:space="preserve"> damage to the appearance of the container/packing box.</w:t>
      </w:r>
    </w:p>
    <w:p>
      <w:pPr>
        <w:ind w:left="420" w:leftChars="200"/>
        <w:rPr>
          <w:rFonts w:eastAsia="仿宋" w:cs="Times New Roman"/>
          <w:b/>
          <w:szCs w:val="21"/>
        </w:rPr>
      </w:pPr>
      <w:r>
        <w:rPr>
          <w:rFonts w:hint="eastAsia" w:eastAsia="仿宋" w:cs="Times New Roman"/>
          <w:b/>
          <w:szCs w:val="21"/>
        </w:rPr>
        <w:t>货物到达买方或最终用户工厂后，即使在集装箱</w:t>
      </w:r>
      <w:r>
        <w:rPr>
          <w:rFonts w:eastAsia="仿宋" w:cs="Times New Roman"/>
          <w:b/>
          <w:szCs w:val="21"/>
        </w:rPr>
        <w:t>/</w:t>
      </w:r>
      <w:r>
        <w:rPr>
          <w:rFonts w:hint="eastAsia" w:eastAsia="仿宋" w:cs="Times New Roman"/>
          <w:b/>
          <w:szCs w:val="21"/>
        </w:rPr>
        <w:t>包装箱外观没有损坏的情况下，卖方亦可根据本合同第1</w:t>
      </w:r>
      <w:r>
        <w:rPr>
          <w:rFonts w:eastAsia="仿宋" w:cs="Times New Roman"/>
          <w:b/>
          <w:szCs w:val="21"/>
        </w:rPr>
        <w:t>6</w:t>
      </w:r>
      <w:r>
        <w:rPr>
          <w:rFonts w:hint="eastAsia" w:eastAsia="仿宋" w:cs="Times New Roman"/>
          <w:b/>
          <w:szCs w:val="21"/>
        </w:rPr>
        <w:t>条就货物的任何损失发起索赔。</w:t>
      </w:r>
    </w:p>
    <w:p>
      <w:pPr>
        <w:pStyle w:val="11"/>
        <w:spacing w:after="156" w:line="240" w:lineRule="auto"/>
        <w:rPr>
          <w:rFonts w:eastAsia="仿宋"/>
          <w:lang w:eastAsia="zh-TW"/>
        </w:rPr>
      </w:pPr>
    </w:p>
    <w:p>
      <w:pPr>
        <w:ind w:left="360" w:hanging="360"/>
        <w:rPr>
          <w:rFonts w:eastAsia="仿宋" w:cs="Times New Roman"/>
          <w:b/>
          <w:szCs w:val="21"/>
        </w:rPr>
      </w:pPr>
    </w:p>
    <w:p>
      <w:pPr>
        <w:ind w:left="360" w:hanging="360"/>
        <w:rPr>
          <w:rFonts w:eastAsia="仿宋" w:cs="Times New Roman"/>
          <w:b/>
          <w:szCs w:val="21"/>
        </w:rPr>
      </w:pPr>
    </w:p>
    <w:p>
      <w:pPr>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pPr>
        <w:rPr>
          <w:rFonts w:eastAsia="仿宋" w:cs="Times New Roman"/>
          <w:szCs w:val="21"/>
        </w:rPr>
      </w:pPr>
    </w:p>
    <w:p>
      <w:pPr>
        <w:ind w:left="315" w:hanging="315" w:hangingChars="150"/>
        <w:rPr>
          <w:rFonts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pPr>
        <w:rPr>
          <w:rFonts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pPr>
        <w:numPr>
          <w:ilvl w:val="0"/>
          <w:numId w:val="10"/>
        </w:numPr>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pPr>
        <w:ind w:left="851"/>
        <w:rPr>
          <w:rFonts w:eastAsia="仿宋" w:cs="Times New Roman"/>
          <w:szCs w:val="21"/>
        </w:rPr>
      </w:pPr>
      <w:r>
        <w:rPr>
          <w:rFonts w:eastAsia="仿宋" w:cs="Times New Roman"/>
          <w:szCs w:val="21"/>
        </w:rPr>
        <w:t>卖方应根据本合同第五条安排发货。</w:t>
      </w:r>
    </w:p>
    <w:p>
      <w:pPr>
        <w:numPr>
          <w:ilvl w:val="0"/>
          <w:numId w:val="10"/>
        </w:numPr>
        <w:rPr>
          <w:rFonts w:eastAsia="仿宋" w:cs="Times New Roman"/>
          <w:szCs w:val="21"/>
        </w:rPr>
      </w:pPr>
      <w:r>
        <w:rPr>
          <w:rFonts w:eastAsia="仿宋" w:cs="Times New Roman"/>
          <w:szCs w:val="21"/>
        </w:rPr>
        <w:t>partial shipment is not allowed;</w:t>
      </w:r>
    </w:p>
    <w:p>
      <w:pPr>
        <w:ind w:left="851"/>
        <w:rPr>
          <w:rFonts w:eastAsia="仿宋" w:cs="Times New Roman"/>
          <w:szCs w:val="21"/>
        </w:rPr>
      </w:pPr>
      <w:r>
        <w:rPr>
          <w:rFonts w:eastAsia="仿宋" w:cs="Times New Roman"/>
          <w:szCs w:val="21"/>
        </w:rPr>
        <w:t>不允许分批装运。</w:t>
      </w:r>
    </w:p>
    <w:p>
      <w:pPr>
        <w:numPr>
          <w:ilvl w:val="0"/>
          <w:numId w:val="10"/>
        </w:numPr>
        <w:rPr>
          <w:rFonts w:eastAsia="仿宋" w:cs="Times New Roman"/>
          <w:szCs w:val="21"/>
        </w:rPr>
      </w:pPr>
      <w:r>
        <w:rPr>
          <w:rFonts w:eastAsia="仿宋" w:cs="Times New Roman"/>
          <w:szCs w:val="21"/>
        </w:rPr>
        <w:t>transshipment of the Commodities is not allowed;</w:t>
      </w:r>
    </w:p>
    <w:p>
      <w:pPr>
        <w:ind w:left="851"/>
        <w:rPr>
          <w:rFonts w:eastAsia="仿宋" w:cs="Times New Roman"/>
          <w:szCs w:val="21"/>
        </w:rPr>
      </w:pPr>
      <w:r>
        <w:rPr>
          <w:rFonts w:eastAsia="仿宋" w:cs="Times New Roman"/>
          <w:szCs w:val="21"/>
        </w:rPr>
        <w:t>不允许转船运输。</w:t>
      </w:r>
    </w:p>
    <w:p>
      <w:pPr>
        <w:numPr>
          <w:ilvl w:val="0"/>
          <w:numId w:val="10"/>
        </w:numPr>
        <w:rPr>
          <w:rFonts w:eastAsia="仿宋" w:cs="Times New Roman"/>
          <w:szCs w:val="21"/>
        </w:rPr>
      </w:pPr>
      <w:r>
        <w:rPr>
          <w:rFonts w:eastAsia="仿宋" w:cs="Times New Roman"/>
          <w:szCs w:val="21"/>
        </w:rPr>
        <w:t xml:space="preserve">the Commodities shall not be carried by vessel flying the flag of any country that the Buyer cannot accept; </w:t>
      </w:r>
    </w:p>
    <w:p>
      <w:pPr>
        <w:ind w:left="720"/>
        <w:rPr>
          <w:rFonts w:eastAsia="仿宋" w:cs="Times New Roman"/>
          <w:szCs w:val="21"/>
        </w:rPr>
      </w:pPr>
      <w:r>
        <w:rPr>
          <w:rFonts w:eastAsia="仿宋" w:cs="Times New Roman"/>
          <w:szCs w:val="21"/>
        </w:rPr>
        <w:t>本合同项下的货物不得由悬挂买方不接受的国旗的船只运输，</w:t>
      </w:r>
    </w:p>
    <w:p>
      <w:pPr>
        <w:numPr>
          <w:ilvl w:val="0"/>
          <w:numId w:val="10"/>
        </w:numPr>
        <w:rPr>
          <w:rFonts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pPr>
        <w:ind w:left="678" w:leftChars="323"/>
        <w:rPr>
          <w:rFonts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pPr>
        <w:ind w:left="360" w:hanging="360"/>
        <w:rPr>
          <w:rFonts w:eastAsia="仿宋" w:cs="Times New Roman"/>
          <w:szCs w:val="21"/>
        </w:rPr>
      </w:pPr>
    </w:p>
    <w:p>
      <w:pPr>
        <w:numPr>
          <w:ilvl w:val="1"/>
          <w:numId w:val="11"/>
        </w:numPr>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pPr>
        <w:ind w:left="360"/>
        <w:rPr>
          <w:rFonts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pPr>
        <w:ind w:left="210" w:hanging="210" w:hangingChars="100"/>
        <w:rPr>
          <w:rFonts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pPr>
        <w:ind w:left="210" w:leftChars="100" w:firstLine="210" w:firstLineChars="100"/>
        <w:rPr>
          <w:rFonts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pPr>
        <w:ind w:left="210" w:leftChars="100" w:firstLine="210" w:firstLineChars="100"/>
        <w:rPr>
          <w:rFonts w:eastAsia="仿宋" w:cs="Times New Roman"/>
          <w:szCs w:val="21"/>
        </w:rPr>
      </w:pPr>
    </w:p>
    <w:p>
      <w:pPr>
        <w:ind w:left="360" w:hanging="360"/>
        <w:rPr>
          <w:rFonts w:eastAsia="仿宋" w:cs="Times New Roman"/>
          <w:b/>
          <w:szCs w:val="21"/>
        </w:rPr>
      </w:pPr>
    </w:p>
    <w:p>
      <w:pPr>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pPr>
        <w:ind w:left="426" w:hanging="426"/>
        <w:rPr>
          <w:rFonts w:eastAsia="仿宋" w:cs="Times New Roman"/>
          <w:b/>
          <w:szCs w:val="21"/>
          <w:lang w:eastAsia="zh-TW"/>
        </w:rPr>
      </w:pPr>
    </w:p>
    <w:p>
      <w:pPr>
        <w:ind w:left="479" w:leftChars="228"/>
        <w:rPr>
          <w:rFonts w:eastAsia="仿宋" w:cs="Times New Roman"/>
          <w:szCs w:val="21"/>
          <w:lang w:eastAsia="zh-TW"/>
        </w:rPr>
      </w:pPr>
      <w:r>
        <w:rPr>
          <w:rFonts w:eastAsia="仿宋" w:cs="Times New Roman"/>
          <w:szCs w:val="21"/>
          <w:lang w:eastAsia="zh-TW"/>
        </w:rPr>
        <w:t>The total price of the Commodities under this Contract is</w:t>
      </w:r>
      <w:r>
        <w:rPr>
          <w:rFonts w:eastAsia="仿宋" w:cs="Times New Roman"/>
          <w:szCs w:val="21"/>
        </w:rPr>
        <w:t xml:space="preserve"> **********</w:t>
      </w:r>
    </w:p>
    <w:p>
      <w:pPr>
        <w:ind w:left="360" w:hanging="360"/>
        <w:rPr>
          <w:rFonts w:eastAsia="仿宋" w:cs="Times New Roman"/>
          <w:b/>
          <w:szCs w:val="21"/>
          <w:lang w:eastAsia="zh-TW"/>
        </w:rPr>
      </w:pPr>
    </w:p>
    <w:p>
      <w:pPr>
        <w:ind w:left="522" w:leftChars="222" w:hanging="56" w:hangingChars="27"/>
        <w:rPr>
          <w:rFonts w:eastAsia="仿宋" w:cs="Times New Roman"/>
          <w:szCs w:val="21"/>
        </w:rPr>
      </w:pPr>
      <w:r>
        <w:rPr>
          <w:rFonts w:eastAsia="仿宋" w:cs="Times New Roman"/>
          <w:szCs w:val="21"/>
        </w:rPr>
        <w:t>本合同项下的货物总价为**********。</w:t>
      </w:r>
    </w:p>
    <w:p>
      <w:pPr>
        <w:ind w:left="415" w:leftChars="171" w:hanging="56" w:hangingChars="27"/>
        <w:rPr>
          <w:rFonts w:eastAsia="仿宋" w:cs="Times New Roman"/>
          <w:szCs w:val="21"/>
        </w:rPr>
      </w:pPr>
    </w:p>
    <w:p>
      <w:pPr>
        <w:ind w:left="426" w:hanging="426"/>
        <w:rPr>
          <w:rFonts w:eastAsia="仿宋" w:cs="Times New Roman"/>
          <w:szCs w:val="21"/>
        </w:rPr>
      </w:pPr>
    </w:p>
    <w:p>
      <w:pPr>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（预付</w:t>
      </w:r>
      <w:r>
        <w:rPr>
          <w:rFonts w:eastAsia="仿宋" w:cs="Times New Roman"/>
          <w:b/>
          <w:i/>
          <w:iCs/>
          <w:sz w:val="24"/>
          <w:szCs w:val="24"/>
        </w:rPr>
        <w:t>TT+LC</w:t>
      </w:r>
      <w:r>
        <w:rPr>
          <w:rFonts w:hint="eastAsia" w:eastAsia="仿宋" w:cs="Times New Roman"/>
          <w:b/>
          <w:i/>
          <w:iCs/>
          <w:sz w:val="24"/>
          <w:szCs w:val="24"/>
        </w:rPr>
        <w:t>）</w:t>
      </w:r>
      <w:r>
        <w:rPr>
          <w:rFonts w:eastAsia="仿宋" w:cs="Times New Roman"/>
          <w:b/>
          <w:i/>
          <w:iCs/>
          <w:sz w:val="24"/>
          <w:szCs w:val="24"/>
        </w:rPr>
        <w:t>-</w:t>
      </w:r>
      <w:r>
        <w:rPr>
          <w:rFonts w:hint="eastAsia" w:eastAsia="仿宋" w:cs="Times New Roman"/>
          <w:b/>
          <w:i/>
          <w:iCs/>
          <w:sz w:val="24"/>
          <w:szCs w:val="24"/>
        </w:rPr>
        <w:t>建议</w:t>
      </w:r>
      <w:r>
        <w:rPr>
          <w:rFonts w:eastAsia="仿宋" w:cs="Times New Roman"/>
          <w:b/>
          <w:i/>
          <w:iCs/>
          <w:sz w:val="24"/>
          <w:szCs w:val="24"/>
        </w:rPr>
        <w:t>CIF/CIP</w:t>
      </w:r>
    </w:p>
    <w:p>
      <w:pPr>
        <w:rPr>
          <w:rFonts w:eastAsia="仿宋" w:cs="Times New Roman"/>
          <w:szCs w:val="21"/>
          <w:lang w:eastAsia="zh-TW"/>
        </w:rPr>
      </w:pPr>
    </w:p>
    <w:p>
      <w:pPr>
        <w:ind w:firstLine="420" w:firstLineChars="200"/>
        <w:rPr>
          <w:rFonts w:eastAsia="仿宋" w:cs="Times New Roman"/>
          <w:szCs w:val="21"/>
        </w:rPr>
      </w:pPr>
      <w:r>
        <w:rPr>
          <w:rFonts w:eastAsia="仿宋" w:cs="Times New Roman"/>
          <w:szCs w:val="21"/>
        </w:rPr>
        <w:t>Payment shall be made by the Buyer by installments as follows:</w:t>
      </w:r>
    </w:p>
    <w:p>
      <w:pPr>
        <w:ind w:left="447" w:leftChars="213"/>
        <w:rPr>
          <w:rFonts w:eastAsia="仿宋" w:cs="Times New Roman"/>
          <w:szCs w:val="21"/>
        </w:rPr>
      </w:pPr>
      <w:r>
        <w:rPr>
          <w:rFonts w:eastAsia="仿宋" w:cs="Times New Roman"/>
          <w:szCs w:val="21"/>
        </w:rPr>
        <w:t>买方应根据如下方式分期支付货款：</w:t>
      </w:r>
    </w:p>
    <w:p>
      <w:pPr>
        <w:ind w:left="537" w:leftChars="171" w:hanging="178" w:hangingChars="85"/>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pPr>
        <w:ind w:left="567" w:leftChars="270" w:firstLine="210" w:firstLineChars="100"/>
        <w:rPr>
          <w:rFonts w:eastAsia="仿宋" w:cs="Times New Roman"/>
          <w:szCs w:val="21"/>
        </w:rPr>
      </w:pPr>
      <w:r>
        <w:rPr>
          <w:rFonts w:eastAsia="仿宋" w:cs="Times New Roman"/>
          <w:szCs w:val="21"/>
        </w:rPr>
        <w:t>预付款10%</w:t>
      </w:r>
    </w:p>
    <w:p>
      <w:pPr>
        <w:numPr>
          <w:ilvl w:val="0"/>
          <w:numId w:val="12"/>
        </w:numPr>
        <w:rPr>
          <w:rFonts w:eastAsia="仿宋" w:cs="Times New Roman"/>
          <w:szCs w:val="21"/>
          <w:lang w:eastAsia="zh-TW"/>
        </w:rPr>
      </w:pPr>
      <w:r>
        <w:rPr>
          <w:rFonts w:eastAsia="仿宋" w:cs="Times New Roman"/>
          <w:szCs w:val="21"/>
        </w:rPr>
        <w:t>Ten percent (10%) of the total Contract Value, i.e.</w:t>
      </w:r>
      <w:r>
        <w:rPr>
          <w:rFonts w:eastAsia="仿宋" w:cs="Times New Roman"/>
          <w:b/>
          <w:bCs/>
          <w:szCs w:val="21"/>
        </w:rPr>
        <w:t xml:space="preserve"> </w:t>
      </w:r>
      <w:r>
        <w:rPr>
          <w:rFonts w:eastAsia="仿宋" w:cs="Times New Roman"/>
          <w:szCs w:val="21"/>
        </w:rPr>
        <w:t>**********</w:t>
      </w:r>
      <w:r>
        <w:rPr>
          <w:rFonts w:eastAsia="仿宋" w:cs="Times New Roman"/>
          <w:bCs/>
          <w:szCs w:val="21"/>
          <w:u w:val="single"/>
        </w:rPr>
        <w:t xml:space="preserve"> </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r>
        <w:rPr>
          <w:rFonts w:eastAsia="仿宋" w:cs="Times New Roman"/>
          <w:szCs w:val="21"/>
          <w:lang w:eastAsia="zh-TW"/>
        </w:rPr>
        <w:t xml:space="preserve"> </w:t>
      </w:r>
    </w:p>
    <w:p>
      <w:pPr>
        <w:ind w:left="735" w:leftChars="350"/>
        <w:rPr>
          <w:rFonts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即**********作为预付款支付给卖方。</w:t>
      </w:r>
    </w:p>
    <w:p>
      <w:pPr>
        <w:numPr>
          <w:ilvl w:val="0"/>
          <w:numId w:val="12"/>
        </w:numPr>
        <w:rPr>
          <w:rFonts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eastAsia="仿宋" w:cs="Times New Roman"/>
          <w:szCs w:val="21"/>
        </w:rPr>
        <w:t>** **</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pPr>
        <w:ind w:left="735" w:leftChars="350"/>
        <w:rPr>
          <w:rFonts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有效期截止年**月**日，若交货延期，卖方应相应延长保函的有效期。</w:t>
      </w:r>
    </w:p>
    <w:p>
      <w:pPr>
        <w:ind w:left="1134" w:hanging="567"/>
        <w:rPr>
          <w:rFonts w:eastAsia="仿宋" w:cs="Times New Roman"/>
          <w:szCs w:val="21"/>
        </w:rPr>
      </w:pPr>
    </w:p>
    <w:p>
      <w:pPr>
        <w:ind w:left="522" w:leftChars="114" w:hanging="283" w:hangingChars="135"/>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pPr>
        <w:rPr>
          <w:rFonts w:eastAsia="仿宋" w:cs="Times New Roman"/>
          <w:szCs w:val="21"/>
        </w:rPr>
      </w:pPr>
      <w:r>
        <w:rPr>
          <w:rFonts w:eastAsia="仿宋" w:cs="Times New Roman"/>
          <w:szCs w:val="21"/>
          <w:lang w:eastAsia="zh-TW"/>
        </w:rPr>
        <w:tab/>
      </w:r>
      <w:r>
        <w:rPr>
          <w:rFonts w:eastAsia="仿宋" w:cs="Times New Roman"/>
          <w:szCs w:val="21"/>
        </w:rPr>
        <w:t xml:space="preserve">    90%货款</w:t>
      </w:r>
    </w:p>
    <w:p>
      <w:pPr>
        <w:rPr>
          <w:rFonts w:eastAsia="仿宋" w:cs="Times New Roman"/>
          <w:szCs w:val="21"/>
        </w:rPr>
      </w:pPr>
    </w:p>
    <w:p>
      <w:pPr>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for a sum of ninety percent (90%) of total Contract Value, i.e. ********** in favour of the Seller and valid for twenty-one (21) calendar days after Final Acceptance. The draft of L/C should be sent to the Seller 7 days before its official issue date.</w:t>
      </w:r>
    </w:p>
    <w:p>
      <w:pPr>
        <w:ind w:left="720"/>
        <w:rPr>
          <w:rFonts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pPr>
        <w:numPr>
          <w:ilvl w:val="0"/>
          <w:numId w:val="13"/>
        </w:numPr>
        <w:rPr>
          <w:rFonts w:eastAsia="仿宋" w:cs="Times New Roman"/>
          <w:szCs w:val="21"/>
        </w:rPr>
      </w:pPr>
      <w:r>
        <w:rPr>
          <w:rFonts w:eastAsia="仿宋" w:cs="Times New Roman"/>
          <w:szCs w:val="21"/>
        </w:rPr>
        <w:t>Eighty percent (80%) of the Contract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delivery by the Seller to the L/C opening bank of sight draft(s) for 80% of the invoice value accompanied the shipping documents specified in the Article 12</w:t>
      </w:r>
      <w:r>
        <w:rPr>
          <w:rFonts w:hint="eastAsia" w:eastAsia="仿宋" w:cs="Times New Roman"/>
          <w:szCs w:val="21"/>
        </w:rPr>
        <w:t xml:space="preserve"> </w:t>
      </w:r>
      <w:r>
        <w:rPr>
          <w:rFonts w:eastAsia="仿宋" w:cs="Times New Roman"/>
          <w:szCs w:val="21"/>
        </w:rPr>
        <w:t>below.</w:t>
      </w:r>
    </w:p>
    <w:p>
      <w:pPr>
        <w:tabs>
          <w:tab w:val="left" w:pos="1134"/>
        </w:tabs>
        <w:ind w:left="945" w:hanging="945" w:hangingChars="450"/>
        <w:rPr>
          <w:rFonts w:eastAsia="仿宋" w:cs="Times New Roman"/>
          <w:szCs w:val="21"/>
        </w:rPr>
      </w:pPr>
      <w:r>
        <w:rPr>
          <w:rFonts w:eastAsia="仿宋" w:cs="Times New Roman"/>
          <w:szCs w:val="21"/>
        </w:rPr>
        <w:t xml:space="preserve">         在卖方通过向开证行提交</w:t>
      </w:r>
      <w:r>
        <w:rPr>
          <w:rFonts w:hint="eastAsia" w:eastAsia="仿宋" w:cs="Times New Roman"/>
          <w:szCs w:val="21"/>
        </w:rPr>
        <w:t>发票金额</w:t>
      </w:r>
      <w:r>
        <w:rPr>
          <w:rFonts w:eastAsia="仿宋" w:cs="Times New Roman"/>
          <w:szCs w:val="21"/>
        </w:rPr>
        <w:t>80%的即期汇票及本合同第十二条所指定的装船单据后，买方应将</w:t>
      </w:r>
      <w:r>
        <w:rPr>
          <w:rFonts w:hint="eastAsia" w:eastAsia="仿宋" w:cs="Times New Roman"/>
          <w:szCs w:val="21"/>
        </w:rPr>
        <w:t>合同价格</w:t>
      </w:r>
      <w:r>
        <w:rPr>
          <w:rFonts w:eastAsia="仿宋" w:cs="Times New Roman"/>
          <w:szCs w:val="21"/>
        </w:rPr>
        <w:t>的80%即</w:t>
      </w:r>
      <w:r>
        <w:rPr>
          <w:rFonts w:hint="eastAsia" w:eastAsia="仿宋" w:cs="Times New Roman"/>
          <w:szCs w:val="21"/>
        </w:rPr>
        <w:t>【】</w:t>
      </w:r>
      <w:r>
        <w:rPr>
          <w:rFonts w:eastAsia="仿宋" w:cs="Times New Roman"/>
          <w:szCs w:val="21"/>
        </w:rPr>
        <w:t>支付给卖方。</w:t>
      </w:r>
    </w:p>
    <w:p>
      <w:pPr>
        <w:tabs>
          <w:tab w:val="left" w:pos="1134"/>
        </w:tabs>
        <w:rPr>
          <w:rFonts w:eastAsia="仿宋" w:cs="Times New Roman"/>
          <w:szCs w:val="21"/>
        </w:rPr>
      </w:pPr>
      <w:r>
        <w:rPr>
          <w:rFonts w:eastAsia="仿宋" w:cs="Times New Roman"/>
          <w:szCs w:val="21"/>
        </w:rPr>
        <w:t xml:space="preserve"> </w:t>
      </w:r>
    </w:p>
    <w:p>
      <w:pPr>
        <w:numPr>
          <w:ilvl w:val="0"/>
          <w:numId w:val="13"/>
        </w:numPr>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pPr>
        <w:ind w:left="945" w:leftChars="450"/>
        <w:rPr>
          <w:rFonts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pPr>
        <w:tabs>
          <w:tab w:val="left" w:pos="1134"/>
        </w:tabs>
        <w:ind w:left="945" w:leftChars="450"/>
        <w:rPr>
          <w:rFonts w:eastAsia="仿宋" w:cs="Times New Roman"/>
          <w:szCs w:val="21"/>
        </w:rPr>
      </w:pPr>
    </w:p>
    <w:p>
      <w:pPr>
        <w:tabs>
          <w:tab w:val="left" w:pos="1134"/>
        </w:tabs>
        <w:ind w:left="945" w:leftChars="450"/>
        <w:rPr>
          <w:rFonts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pPr>
        <w:tabs>
          <w:tab w:val="left" w:pos="1134"/>
        </w:tabs>
        <w:ind w:left="945" w:leftChars="450"/>
        <w:rPr>
          <w:rFonts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pPr>
        <w:tabs>
          <w:tab w:val="left" w:pos="1134"/>
        </w:tabs>
        <w:ind w:left="945" w:leftChars="450"/>
        <w:rPr>
          <w:rFonts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pPr>
        <w:tabs>
          <w:tab w:val="left" w:pos="1134"/>
        </w:tabs>
        <w:ind w:left="945" w:leftChars="450"/>
        <w:rPr>
          <w:rFonts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pPr>
        <w:tabs>
          <w:tab w:val="left" w:pos="1134"/>
        </w:tabs>
        <w:ind w:left="945" w:leftChars="450"/>
        <w:rPr>
          <w:rFonts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pPr>
        <w:tabs>
          <w:tab w:val="left" w:pos="1134"/>
        </w:tabs>
        <w:ind w:left="945" w:leftChars="450"/>
        <w:rPr>
          <w:rFonts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pPr>
        <w:tabs>
          <w:tab w:val="left" w:pos="1134"/>
        </w:tabs>
        <w:rPr>
          <w:rFonts w:eastAsia="仿宋" w:cs="Times New Roman"/>
          <w:szCs w:val="21"/>
        </w:rPr>
      </w:pPr>
    </w:p>
    <w:p>
      <w:pPr>
        <w:ind w:left="861" w:leftChars="410"/>
        <w:rPr>
          <w:rFonts w:eastAsia="仿宋" w:cs="Times New Roman"/>
          <w:szCs w:val="21"/>
        </w:rPr>
      </w:pP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stipulated in th</w:t>
      </w:r>
      <w:r>
        <w:rPr>
          <w:rFonts w:eastAsia="仿宋" w:cs="Times New Roman"/>
          <w:szCs w:val="21"/>
        </w:rPr>
        <w:t>is</w:t>
      </w:r>
      <w:r>
        <w:rPr>
          <w:rFonts w:hint="eastAsia" w:eastAsia="仿宋" w:cs="Times New Roman"/>
          <w:szCs w:val="21"/>
        </w:rPr>
        <w:t> Contract, liquidated damages shall be paid by the Seller for the delay so caused and </w:t>
      </w:r>
      <w:bookmarkStart w:id="149" w:name="OLE_LINK20"/>
      <w:r>
        <w:rPr>
          <w:rFonts w:hint="eastAsia" w:eastAsia="仿宋" w:cs="Times New Roman"/>
          <w:szCs w:val="21"/>
        </w:rPr>
        <w:t>shall be deducted </w:t>
      </w:r>
      <w:r>
        <w:rPr>
          <w:rFonts w:eastAsia="仿宋" w:cs="Times New Roman"/>
          <w:szCs w:val="21"/>
        </w:rPr>
        <w:t>from the Contract Value</w:t>
      </w:r>
      <w:r>
        <w:rPr>
          <w:rFonts w:hint="eastAsia" w:eastAsia="仿宋" w:cs="Times New Roman"/>
          <w:szCs w:val="21"/>
        </w:rPr>
        <w:t>.</w:t>
      </w:r>
      <w:r>
        <w:rPr>
          <w:rFonts w:eastAsia="仿宋" w:cs="Times New Roman"/>
          <w:szCs w:val="21"/>
        </w:rPr>
        <w:t xml:space="preserve"> </w:t>
      </w:r>
      <w:bookmarkEnd w:id="149"/>
      <w:r>
        <w:rPr>
          <w:rFonts w:eastAsia="仿宋" w:cs="Times New Roman"/>
          <w:szCs w:val="21"/>
        </w:rPr>
        <w:t>The rate of liquidated damages is charged at zero point five (0.5) percent of the Contract Value for every seven (7) calendar days, odd days less than seven days being counted as seven days. However, the liquidated damages shall not exceed 5% of the Contract Value. In case the Seller fails to make delivery</w:t>
      </w:r>
      <w:r>
        <w:rPr>
          <w:rFonts w:hint="eastAsia" w:eastAsia="仿宋" w:cs="Times New Roman"/>
          <w:szCs w:val="21"/>
        </w:rPr>
        <w:t>,</w:t>
      </w:r>
      <w:r>
        <w:rPr>
          <w:rFonts w:eastAsia="仿宋" w:cs="Times New Roman"/>
          <w:szCs w:val="21"/>
        </w:rPr>
        <w:t xml:space="preserve"> installation and commissioning after the maximum liquidated damages is reached, the Buyer shall have the right to withdraw the Contract and the Seller shall still be obligated to pay the full amount of the aforesaid liquidated damages.</w:t>
      </w:r>
    </w:p>
    <w:p>
      <w:pPr>
        <w:ind w:left="861" w:leftChars="410"/>
        <w:rPr>
          <w:rFonts w:eastAsia="仿宋" w:cs="Times New Roman"/>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w:t>
      </w:r>
      <w:r>
        <w:rPr>
          <w:rFonts w:hint="eastAsia" w:eastAsia="仿宋" w:cs="Times New Roman"/>
          <w:szCs w:val="21"/>
        </w:rPr>
        <w:t>议付</w:t>
      </w:r>
      <w:r>
        <w:rPr>
          <w:rFonts w:eastAsia="仿宋" w:cs="Times New Roman"/>
          <w:szCs w:val="21"/>
        </w:rPr>
        <w:t>款中扣除。罚金每周收取合同</w:t>
      </w:r>
      <w:r>
        <w:rPr>
          <w:rFonts w:hint="eastAsia" w:eastAsia="仿宋" w:cs="Times New Roman"/>
          <w:szCs w:val="21"/>
        </w:rPr>
        <w:t>价格</w:t>
      </w:r>
      <w:r>
        <w:rPr>
          <w:rFonts w:eastAsia="仿宋" w:cs="Times New Roman"/>
          <w:szCs w:val="21"/>
        </w:rPr>
        <w:t>的0.5%，不足一周按一周计算。但是罚金总数不超过本合同</w:t>
      </w:r>
      <w:r>
        <w:rPr>
          <w:rFonts w:hint="eastAsia" w:eastAsia="仿宋" w:cs="Times New Roman"/>
          <w:szCs w:val="21"/>
        </w:rPr>
        <w:t>价格</w:t>
      </w:r>
      <w:r>
        <w:rPr>
          <w:rFonts w:eastAsia="仿宋" w:cs="Times New Roman"/>
          <w:szCs w:val="21"/>
        </w:rPr>
        <w:t>的5%。如果罚金达到5%仍然无法交货</w:t>
      </w:r>
      <w:r>
        <w:rPr>
          <w:rFonts w:hint="eastAsia" w:eastAsia="仿宋" w:cs="Times New Roman"/>
          <w:szCs w:val="21"/>
        </w:rPr>
        <w:t>、安装调试，</w:t>
      </w:r>
      <w:r>
        <w:rPr>
          <w:rFonts w:eastAsia="仿宋" w:cs="Times New Roman"/>
          <w:szCs w:val="21"/>
        </w:rPr>
        <w:t>买方有权解除本合同，卖方仍应支付上述罚金。</w:t>
      </w:r>
    </w:p>
    <w:p>
      <w:pPr>
        <w:ind w:left="838" w:leftChars="57" w:hanging="718" w:hangingChars="342"/>
        <w:rPr>
          <w:rFonts w:eastAsia="仿宋" w:cs="Times New Roman"/>
          <w:szCs w:val="21"/>
        </w:rPr>
      </w:pPr>
      <w:r>
        <w:rPr>
          <w:rFonts w:eastAsia="仿宋" w:cs="Times New Roman"/>
          <w:bCs/>
          <w:szCs w:val="21"/>
          <w:lang w:eastAsia="zh-TW"/>
        </w:rPr>
        <w:t>11.3</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pPr>
        <w:adjustRightInd w:val="0"/>
        <w:snapToGrid w:val="0"/>
        <w:ind w:left="840" w:leftChars="300" w:hanging="210" w:hangingChars="100"/>
        <w:rPr>
          <w:rFonts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pPr>
        <w:adjustRightInd w:val="0"/>
        <w:snapToGrid w:val="0"/>
        <w:ind w:left="840" w:leftChars="100" w:hanging="630" w:hangingChars="300"/>
        <w:rPr>
          <w:rFonts w:eastAsia="仿宋" w:cs="Times New Roman"/>
          <w:bCs/>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adjustRightInd w:val="0"/>
        <w:snapToGrid w:val="0"/>
        <w:ind w:left="840" w:leftChars="400"/>
        <w:rPr>
          <w:rFonts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（后</w:t>
      </w:r>
      <w:r>
        <w:rPr>
          <w:rFonts w:eastAsia="仿宋" w:cs="Times New Roman"/>
          <w:b/>
          <w:i/>
          <w:iCs/>
          <w:sz w:val="24"/>
          <w:szCs w:val="24"/>
        </w:rPr>
        <w:t>TT</w:t>
      </w:r>
      <w:r>
        <w:rPr>
          <w:rFonts w:hint="eastAsia" w:eastAsia="仿宋" w:cs="Times New Roman"/>
          <w:b/>
          <w:i/>
          <w:iCs/>
          <w:sz w:val="24"/>
          <w:szCs w:val="24"/>
        </w:rPr>
        <w:t>）-建议</w:t>
      </w:r>
      <w:r>
        <w:rPr>
          <w:rFonts w:eastAsia="仿宋" w:cs="Times New Roman"/>
          <w:b/>
          <w:i/>
          <w:iCs/>
          <w:sz w:val="24"/>
          <w:szCs w:val="24"/>
        </w:rPr>
        <w:t>FCA.FOB</w:t>
      </w:r>
    </w:p>
    <w:p>
      <w:pPr>
        <w:rPr>
          <w:rFonts w:eastAsia="仿宋" w:cs="Times New Roman"/>
          <w:szCs w:val="21"/>
          <w:lang w:eastAsia="zh-TW"/>
        </w:rPr>
      </w:pPr>
    </w:p>
    <w:p>
      <w:pPr>
        <w:ind w:firstLine="420" w:firstLineChars="200"/>
        <w:rPr>
          <w:rFonts w:eastAsia="仿宋" w:cs="Times New Roman"/>
          <w:szCs w:val="21"/>
        </w:rPr>
      </w:pPr>
      <w:r>
        <w:rPr>
          <w:rFonts w:eastAsia="仿宋" w:cs="Times New Roman"/>
          <w:szCs w:val="21"/>
        </w:rPr>
        <w:t>11.1 Payment shall be made by the Buyer as follows:</w:t>
      </w:r>
    </w:p>
    <w:p>
      <w:pPr>
        <w:ind w:left="447" w:leftChars="213"/>
        <w:rPr>
          <w:rFonts w:eastAsia="仿宋" w:cs="Times New Roman"/>
          <w:szCs w:val="21"/>
        </w:rPr>
      </w:pPr>
      <w:r>
        <w:rPr>
          <w:rFonts w:eastAsia="仿宋" w:cs="Times New Roman"/>
          <w:szCs w:val="21"/>
        </w:rPr>
        <w:t>买方应根据如下方式支付货款：</w:t>
      </w:r>
    </w:p>
    <w:p>
      <w:pPr>
        <w:ind w:left="447" w:leftChars="213"/>
        <w:rPr>
          <w:rFonts w:eastAsia="仿宋" w:cs="Times New Roman"/>
          <w:szCs w:val="21"/>
        </w:rPr>
      </w:pPr>
      <w:r>
        <w:rPr>
          <w:rFonts w:eastAsia="仿宋" w:cs="Times New Roman"/>
          <w:szCs w:val="21"/>
        </w:rPr>
        <w:t xml:space="preserve">The Seller shall send all the </w:t>
      </w:r>
      <w:r>
        <w:rPr>
          <w:rFonts w:eastAsia="仿宋" w:cs="Times New Roman"/>
          <w:color w:val="000000"/>
          <w:szCs w:val="21"/>
        </w:rPr>
        <w:t xml:space="preserve">documents </w:t>
      </w:r>
      <w:r>
        <w:rPr>
          <w:rFonts w:eastAsia="仿宋" w:cs="Times New Roman"/>
          <w:szCs w:val="21"/>
        </w:rPr>
        <w:t>specified in Article 12 below</w:t>
      </w:r>
      <w:r>
        <w:rPr>
          <w:rFonts w:eastAsia="仿宋" w:cs="Times New Roman"/>
          <w:color w:val="000000"/>
          <w:szCs w:val="21"/>
        </w:rPr>
        <w:t xml:space="preserve"> to the Buyer by fax/email within 24 hours after each shipment of </w:t>
      </w:r>
      <w:r>
        <w:rPr>
          <w:rFonts w:eastAsia="仿宋" w:cs="Times New Roman"/>
          <w:szCs w:val="21"/>
        </w:rPr>
        <w:t>Commodities</w:t>
      </w:r>
      <w:r>
        <w:rPr>
          <w:rFonts w:eastAsia="仿宋" w:cs="Times New Roman"/>
          <w:color w:val="000000"/>
          <w:szCs w:val="21"/>
        </w:rPr>
        <w:t xml:space="preserve"> are shipped, at the same time the Seller shall send by courier all the original documents to the Buyer.</w:t>
      </w:r>
    </w:p>
    <w:p>
      <w:pPr>
        <w:ind w:left="447" w:leftChars="213"/>
        <w:rPr>
          <w:rFonts w:eastAsia="仿宋" w:cs="Times New Roman"/>
          <w:szCs w:val="21"/>
        </w:rPr>
      </w:pPr>
      <w:r>
        <w:rPr>
          <w:rFonts w:eastAsia="仿宋" w:cs="Times New Roman"/>
          <w:color w:val="000000"/>
          <w:szCs w:val="21"/>
        </w:rPr>
        <w:t>货物交付货运代理人24小时之内，卖方应通过传真或邮件发给买方12条提及的单据，同时把全套正本单据快递给买方。</w:t>
      </w:r>
    </w:p>
    <w:p>
      <w:pPr>
        <w:ind w:left="420" w:leftChars="200"/>
        <w:rPr>
          <w:rFonts w:eastAsia="仿宋" w:cs="Times New Roman"/>
          <w:color w:val="000000"/>
          <w:szCs w:val="21"/>
        </w:rPr>
      </w:pPr>
      <w:r>
        <w:rPr>
          <w:rFonts w:eastAsia="仿宋" w:cs="Times New Roman"/>
          <w:color w:val="000000"/>
          <w:szCs w:val="21"/>
        </w:rPr>
        <w:t xml:space="preserve">Due payment to the Seller shall be effected 30 days after receipt of full set of original documents which </w:t>
      </w:r>
      <w:r>
        <w:rPr>
          <w:rFonts w:eastAsia="仿宋" w:cs="Times New Roman"/>
          <w:szCs w:val="21"/>
        </w:rPr>
        <w:t>specified in the Article 12 below</w:t>
      </w:r>
      <w:r>
        <w:rPr>
          <w:rFonts w:eastAsia="仿宋" w:cs="Times New Roman"/>
          <w:color w:val="000000"/>
          <w:szCs w:val="21"/>
        </w:rPr>
        <w:t xml:space="preserve"> .</w:t>
      </w:r>
    </w:p>
    <w:p>
      <w:pPr>
        <w:numPr>
          <w:ilvl w:val="1"/>
          <w:numId w:val="0"/>
        </w:numPr>
        <w:tabs>
          <w:tab w:val="left" w:pos="567"/>
        </w:tabs>
        <w:ind w:left="447" w:leftChars="213"/>
        <w:rPr>
          <w:rFonts w:eastAsia="仿宋" w:cs="Times New Roman"/>
          <w:color w:val="000000"/>
          <w:szCs w:val="21"/>
        </w:rPr>
      </w:pPr>
      <w:r>
        <w:rPr>
          <w:rFonts w:eastAsia="仿宋" w:cs="Times New Roman"/>
          <w:color w:val="000000"/>
          <w:szCs w:val="21"/>
        </w:rPr>
        <w:t>买方收到全套正本单据（货物商业发票、提货单、质量证书、包装材料声明、产地证）后30天电汇货款。</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 xml:space="preserve">in accordance with the Delivery Schedule </w:t>
      </w:r>
      <w:r>
        <w:rPr>
          <w:rFonts w:hint="eastAsia" w:eastAsia="仿宋" w:cs="Times New Roman"/>
          <w:szCs w:val="21"/>
        </w:rPr>
        <w:t>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However, the liquidated damages shall not exceed 5% of the Contract Value. In case the Seller fails to make delivery</w:t>
      </w:r>
      <w:r>
        <w:rPr>
          <w:rFonts w:hint="eastAsia" w:eastAsia="仿宋" w:cs="Times New Roman"/>
          <w:szCs w:val="21"/>
        </w:rPr>
        <w:t>,</w:t>
      </w:r>
      <w:r>
        <w:rPr>
          <w:rFonts w:eastAsia="仿宋" w:cs="Times New Roman"/>
          <w:szCs w:val="21"/>
        </w:rPr>
        <w:t xml:space="preserve"> installation and commissioning after the maximum liquidated damages amount is reached, the Buyer shall have the right to withdraw the Contract and the Seller shall still be obligated to pay the full amount of the aforesaid liquidated damages.</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的0.5%，不足一周按一周计算。但是罚金总数不超过本合同</w:t>
      </w:r>
      <w:r>
        <w:rPr>
          <w:rFonts w:hint="eastAsia" w:eastAsia="仿宋" w:cs="Times New Roman"/>
          <w:szCs w:val="21"/>
        </w:rPr>
        <w:t>价格</w:t>
      </w:r>
      <w:r>
        <w:rPr>
          <w:rFonts w:eastAsia="仿宋" w:cs="Times New Roman"/>
          <w:szCs w:val="21"/>
        </w:rPr>
        <w:t>的5%。如果罚金达到5%仍然无法交货</w:t>
      </w:r>
      <w:r>
        <w:rPr>
          <w:rFonts w:hint="eastAsia" w:eastAsia="仿宋" w:cs="Times New Roman"/>
          <w:szCs w:val="21"/>
        </w:rPr>
        <w:t>、安装调试，</w:t>
      </w:r>
      <w:r>
        <w:rPr>
          <w:rFonts w:eastAsia="仿宋" w:cs="Times New Roman"/>
          <w:szCs w:val="21"/>
        </w:rPr>
        <w:t>买方有权解除本合同，卖方仍应支付上述罚金。</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买方银行包括代理行的银行费用和佣金由买方支付。卖方银行及其代理行的费用和佣金由卖方支付。</w:t>
      </w:r>
    </w:p>
    <w:p>
      <w:pPr>
        <w:numPr>
          <w:ilvl w:val="1"/>
          <w:numId w:val="0"/>
        </w:numPr>
        <w:tabs>
          <w:tab w:val="left" w:pos="567"/>
        </w:tabs>
        <w:ind w:left="447" w:leftChars="213"/>
        <w:rPr>
          <w:rFonts w:ascii="Arial" w:hAnsi="Arial" w:eastAsia="楷体_GB2312"/>
          <w:color w:val="000000"/>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numPr>
          <w:ilvl w:val="1"/>
          <w:numId w:val="0"/>
        </w:numPr>
        <w:tabs>
          <w:tab w:val="left" w:pos="567"/>
        </w:tabs>
        <w:ind w:left="447" w:leftChars="213"/>
        <w:rPr>
          <w:rFonts w:ascii="Arial" w:hAnsi="Arial" w:eastAsia="楷体_GB2312"/>
          <w:color w:val="000000"/>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numPr>
          <w:ilvl w:val="1"/>
          <w:numId w:val="0"/>
        </w:numPr>
        <w:tabs>
          <w:tab w:val="left" w:pos="567"/>
        </w:tabs>
        <w:ind w:left="447" w:leftChars="213"/>
        <w:rPr>
          <w:rFonts w:ascii="Arial" w:hAnsi="Arial" w:eastAsia="楷体_GB2312"/>
          <w:color w:val="000000"/>
          <w:szCs w:val="21"/>
        </w:rPr>
      </w:pPr>
    </w:p>
    <w:p>
      <w:pPr>
        <w:adjustRightInd w:val="0"/>
        <w:snapToGrid w:val="0"/>
        <w:rPr>
          <w:rFonts w:eastAsia="仿宋" w:cs="Times New Roman"/>
          <w:bCs/>
          <w:szCs w:val="21"/>
        </w:rPr>
      </w:pPr>
    </w:p>
    <w:p>
      <w:pPr>
        <w:ind w:left="567" w:hanging="567"/>
        <w:rPr>
          <w:rFonts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pPr>
        <w:ind w:left="210" w:hanging="210" w:hangingChars="100"/>
        <w:rPr>
          <w:rFonts w:eastAsia="仿宋" w:cs="Times New Roman"/>
          <w:szCs w:val="21"/>
          <w:lang w:eastAsia="zh-TW"/>
        </w:rPr>
      </w:pPr>
    </w:p>
    <w:p>
      <w:pPr>
        <w:ind w:left="210" w:hanging="210" w:hangingChars="10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pPr>
        <w:ind w:left="210" w:hanging="210" w:hangingChars="100"/>
        <w:rPr>
          <w:rFonts w:eastAsia="仿宋" w:cs="Times New Roman"/>
          <w:szCs w:val="21"/>
          <w:lang w:eastAsia="zh-TW"/>
        </w:rPr>
      </w:pPr>
    </w:p>
    <w:p>
      <w:pPr>
        <w:numPr>
          <w:ilvl w:val="0"/>
          <w:numId w:val="14"/>
        </w:numPr>
        <w:tabs>
          <w:tab w:val="left" w:pos="993"/>
        </w:tabs>
        <w:rPr>
          <w:rFonts w:eastAsia="仿宋" w:cs="Times New Roman"/>
          <w:szCs w:val="21"/>
        </w:rPr>
      </w:pPr>
      <w:r>
        <w:rPr>
          <w:rFonts w:hint="eastAsia" w:eastAsia="仿宋" w:cs="Times New Roman"/>
          <w:b/>
          <w:i/>
          <w:iCs/>
          <w:sz w:val="24"/>
          <w:szCs w:val="24"/>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pPr>
        <w:ind w:left="987" w:leftChars="470"/>
        <w:rPr>
          <w:rFonts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pPr>
        <w:tabs>
          <w:tab w:val="left" w:pos="933"/>
          <w:tab w:val="left" w:pos="993"/>
        </w:tabs>
        <w:ind w:left="1050" w:leftChars="500"/>
        <w:rPr>
          <w:rFonts w:eastAsia="仿宋" w:cs="Times New Roman"/>
          <w:szCs w:val="21"/>
        </w:rPr>
      </w:pPr>
      <w:r>
        <w:rPr>
          <w:rFonts w:hint="eastAsia" w:eastAsia="仿宋" w:cs="Times New Roman"/>
          <w:b/>
          <w:i/>
          <w:iCs/>
          <w:sz w:val="24"/>
          <w:szCs w:val="24"/>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pPr>
        <w:ind w:left="720" w:firstLine="420" w:firstLineChars="200"/>
        <w:rPr>
          <w:rFonts w:eastAsia="仿宋" w:cs="Times New Roman"/>
          <w:szCs w:val="21"/>
        </w:rPr>
      </w:pPr>
      <w:r>
        <w:rPr>
          <w:rFonts w:hint="eastAsia" w:eastAsia="仿宋" w:cs="Times New Roman"/>
          <w:szCs w:val="21"/>
        </w:rPr>
        <w:t>清洁空运单副本，收货人为买方，并注明运费已付。</w:t>
      </w:r>
    </w:p>
    <w:p>
      <w:pPr>
        <w:rPr>
          <w:rFonts w:eastAsia="仿宋" w:cs="Times New Roman"/>
          <w:szCs w:val="21"/>
        </w:rPr>
      </w:pPr>
    </w:p>
    <w:p>
      <w:pPr>
        <w:numPr>
          <w:ilvl w:val="0"/>
          <w:numId w:val="14"/>
        </w:numPr>
        <w:tabs>
          <w:tab w:val="left" w:pos="993"/>
        </w:tabs>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pPr>
        <w:ind w:left="567"/>
        <w:rPr>
          <w:rFonts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pPr>
        <w:numPr>
          <w:ilvl w:val="0"/>
          <w:numId w:val="14"/>
        </w:numPr>
        <w:tabs>
          <w:tab w:val="left" w:pos="993"/>
        </w:tabs>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pPr>
        <w:ind w:left="987" w:leftChars="470"/>
        <w:rPr>
          <w:rFonts w:eastAsia="仿宋" w:cs="Times New Roman"/>
          <w:szCs w:val="21"/>
        </w:rPr>
      </w:pPr>
      <w:r>
        <w:rPr>
          <w:rFonts w:eastAsia="仿宋" w:cs="Times New Roman"/>
          <w:szCs w:val="21"/>
        </w:rPr>
        <w:t>装箱单一式两份，应载明（包括但不限于）每件包装的总重、净重、尺寸、名称以及数量。</w:t>
      </w:r>
    </w:p>
    <w:p>
      <w:pPr>
        <w:numPr>
          <w:ilvl w:val="0"/>
          <w:numId w:val="14"/>
        </w:numPr>
        <w:tabs>
          <w:tab w:val="left" w:pos="993"/>
        </w:tabs>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pPr>
        <w:ind w:left="567" w:leftChars="270" w:firstLine="315" w:firstLineChars="150"/>
        <w:rPr>
          <w:rFonts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pPr>
        <w:tabs>
          <w:tab w:val="left" w:pos="709"/>
        </w:tabs>
        <w:snapToGrid w:val="0"/>
        <w:ind w:left="985" w:leftChars="469"/>
        <w:rPr>
          <w:rFonts w:eastAsia="仿宋" w:cs="Times New Roman"/>
          <w:szCs w:val="21"/>
        </w:rPr>
      </w:pPr>
      <w:r>
        <w:rPr>
          <w:rFonts w:eastAsia="楷体_GB2312" w:cs="Times New Roman"/>
          <w:color w:val="000000"/>
          <w:szCs w:val="21"/>
        </w:rPr>
        <w:t>The Certificate of Quality shall include</w:t>
      </w:r>
      <w:r>
        <w:rPr>
          <w:rFonts w:hint="eastAsia" w:eastAsia="楷体_GB2312" w:cs="Times New Roman"/>
          <w:color w:val="000000"/>
          <w:szCs w:val="21"/>
        </w:rPr>
        <w:t xml:space="preserve"> </w:t>
      </w:r>
      <w:r>
        <w:rPr>
          <w:rFonts w:eastAsia="楷体_GB2312" w:cs="Times New Roman"/>
          <w:color w:val="000000"/>
          <w:szCs w:val="21"/>
        </w:rPr>
        <w:t>dimension results, mechanical properties (longitudinal and transverse static strength), microstructure, chemical composition, inspection certificate of</w:t>
      </w:r>
      <w:r>
        <w:rPr>
          <w:rFonts w:hint="eastAsia" w:eastAsia="楷体_GB2312" w:cs="Times New Roman"/>
          <w:color w:val="000000"/>
          <w:szCs w:val="21"/>
        </w:rPr>
        <w:t xml:space="preserve"> </w:t>
      </w:r>
      <w:bookmarkStart w:id="150" w:name="OLE_LINK22"/>
      <w:bookmarkStart w:id="151" w:name="OLE_LINK24"/>
      <w:r>
        <w:rPr>
          <w:rFonts w:eastAsia="楷体_GB2312" w:cs="Times New Roman"/>
          <w:color w:val="000000"/>
          <w:szCs w:val="21"/>
        </w:rPr>
        <w:t>hot rolled bars</w:t>
      </w:r>
      <w:bookmarkEnd w:id="150"/>
      <w:bookmarkEnd w:id="151"/>
      <w:r>
        <w:rPr>
          <w:rFonts w:eastAsia="楷体_GB2312" w:cs="Times New Roman"/>
          <w:color w:val="000000"/>
          <w:szCs w:val="21"/>
        </w:rPr>
        <w:t>, etc.).</w:t>
      </w:r>
    </w:p>
    <w:p>
      <w:pPr>
        <w:ind w:left="985" w:leftChars="469"/>
        <w:rPr>
          <w:rFonts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pPr>
        <w:numPr>
          <w:ilvl w:val="0"/>
          <w:numId w:val="14"/>
        </w:numPr>
        <w:tabs>
          <w:tab w:val="left" w:pos="993"/>
        </w:tabs>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pPr>
        <w:tabs>
          <w:tab w:val="left" w:pos="993"/>
        </w:tabs>
        <w:ind w:left="933"/>
        <w:rPr>
          <w:rFonts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pPr>
        <w:numPr>
          <w:ilvl w:val="0"/>
          <w:numId w:val="14"/>
        </w:numPr>
        <w:tabs>
          <w:tab w:val="left" w:pos="993"/>
        </w:tabs>
        <w:rPr>
          <w:rFonts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pPr>
        <w:tabs>
          <w:tab w:val="left" w:pos="993"/>
        </w:tabs>
        <w:ind w:left="933"/>
        <w:rPr>
          <w:rFonts w:eastAsia="仿宋" w:cs="Times New Roman"/>
          <w:szCs w:val="21"/>
        </w:rPr>
      </w:pPr>
      <w:r>
        <w:rPr>
          <w:rFonts w:eastAsia="仿宋" w:cs="Times New Roman"/>
          <w:szCs w:val="21"/>
        </w:rPr>
        <w:t>每批货物总值110%一切险的保单。</w:t>
      </w:r>
    </w:p>
    <w:p>
      <w:pPr>
        <w:numPr>
          <w:ilvl w:val="0"/>
          <w:numId w:val="14"/>
        </w:numPr>
        <w:tabs>
          <w:tab w:val="left" w:pos="993"/>
        </w:tabs>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pPr>
        <w:tabs>
          <w:tab w:val="left" w:pos="993"/>
        </w:tabs>
        <w:ind w:left="933"/>
        <w:rPr>
          <w:rFonts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pPr>
        <w:numPr>
          <w:ilvl w:val="0"/>
          <w:numId w:val="14"/>
        </w:numPr>
        <w:tabs>
          <w:tab w:val="left" w:pos="993"/>
        </w:tabs>
        <w:rPr>
          <w:rFonts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pPr>
        <w:ind w:left="958" w:leftChars="456"/>
        <w:rPr>
          <w:rFonts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pPr>
        <w:numPr>
          <w:ilvl w:val="0"/>
          <w:numId w:val="14"/>
        </w:numPr>
        <w:tabs>
          <w:tab w:val="left" w:pos="993"/>
        </w:tabs>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pPr>
        <w:numPr>
          <w:ilvl w:val="0"/>
          <w:numId w:val="14"/>
        </w:numPr>
        <w:tabs>
          <w:tab w:val="left" w:pos="993"/>
        </w:tabs>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pPr>
        <w:ind w:left="735" w:leftChars="-100" w:hanging="945" w:hangingChars="450"/>
        <w:rPr>
          <w:rFonts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pPr>
        <w:ind w:left="993"/>
        <w:rPr>
          <w:rFonts w:eastAsia="仿宋" w:cs="Times New Roman"/>
          <w:szCs w:val="21"/>
        </w:rPr>
      </w:pPr>
    </w:p>
    <w:p>
      <w:pPr>
        <w:rPr>
          <w:rFonts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pPr>
        <w:rPr>
          <w:rFonts w:eastAsia="仿宋" w:cs="Times New Roman"/>
          <w:szCs w:val="21"/>
          <w:lang w:eastAsia="zh-TW"/>
        </w:rPr>
      </w:pPr>
    </w:p>
    <w:p>
      <w:pPr>
        <w:numPr>
          <w:ilvl w:val="0"/>
          <w:numId w:val="15"/>
        </w:numPr>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pPr>
        <w:ind w:left="735" w:leftChars="350"/>
        <w:rPr>
          <w:rFonts w:eastAsia="仿宋" w:cs="Times New Roman"/>
          <w:szCs w:val="21"/>
        </w:rPr>
      </w:pPr>
      <w:r>
        <w:rPr>
          <w:rFonts w:eastAsia="仿宋" w:cs="Times New Roman"/>
          <w:szCs w:val="21"/>
        </w:rPr>
        <w:t>根据技术协议，卖方应准备并提供给最终用户技术文件。</w:t>
      </w:r>
    </w:p>
    <w:p>
      <w:pPr>
        <w:numPr>
          <w:ilvl w:val="0"/>
          <w:numId w:val="15"/>
        </w:numPr>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pPr>
        <w:ind w:left="735" w:leftChars="-100" w:hanging="945" w:hangingChars="450"/>
        <w:rPr>
          <w:rFonts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pPr>
        <w:numPr>
          <w:ilvl w:val="0"/>
          <w:numId w:val="15"/>
        </w:numPr>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pPr>
        <w:ind w:left="735" w:leftChars="350"/>
        <w:rPr>
          <w:rFonts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pPr>
        <w:numPr>
          <w:ilvl w:val="0"/>
          <w:numId w:val="15"/>
        </w:numPr>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pPr>
        <w:ind w:left="876" w:leftChars="-33" w:hanging="945" w:hangingChars="450"/>
        <w:rPr>
          <w:rFonts w:eastAsia="仿宋" w:cs="Times New Roman"/>
          <w:szCs w:val="21"/>
        </w:rPr>
      </w:pPr>
      <w:r>
        <w:rPr>
          <w:rFonts w:eastAsia="仿宋" w:cs="Times New Roman"/>
          <w:szCs w:val="21"/>
        </w:rPr>
        <w:t xml:space="preserve">       技术文件应按照技术协议约定单独打包并随货物一起发运给买方。</w:t>
      </w:r>
    </w:p>
    <w:p>
      <w:pPr>
        <w:rPr>
          <w:rFonts w:eastAsia="仿宋" w:cs="Times New Roman"/>
          <w:b/>
          <w:szCs w:val="21"/>
        </w:rPr>
      </w:pPr>
    </w:p>
    <w:p>
      <w:pPr>
        <w:tabs>
          <w:tab w:val="left" w:pos="709"/>
        </w:tabs>
        <w:snapToGrid w:val="0"/>
        <w:rPr>
          <w:rFonts w:eastAsia="仿宋" w:cs="Times New Roman"/>
          <w:b/>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INSURANCE保险（CIP.CIF适用）</w:t>
      </w:r>
    </w:p>
    <w:p>
      <w:pPr>
        <w:snapToGrid w:val="0"/>
        <w:rPr>
          <w:rFonts w:eastAsia="仿宋" w:cs="Times New Roman"/>
          <w:b/>
          <w:szCs w:val="21"/>
        </w:rPr>
      </w:pPr>
    </w:p>
    <w:p>
      <w:pPr>
        <w:snapToGrid w:val="0"/>
        <w:ind w:left="632" w:leftChars="-44" w:hanging="724" w:hangingChars="345"/>
        <w:rPr>
          <w:rFonts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pPr>
        <w:snapToGrid w:val="0"/>
        <w:ind w:left="722" w:hanging="722" w:hangingChars="344"/>
        <w:rPr>
          <w:rFonts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pPr>
        <w:snapToGrid w:val="0"/>
        <w:ind w:left="619" w:hanging="619" w:hangingChars="295"/>
        <w:rPr>
          <w:rFonts w:eastAsia="仿宋" w:cs="Times New Roman"/>
          <w:szCs w:val="21"/>
        </w:rPr>
      </w:pPr>
    </w:p>
    <w:p>
      <w:pPr>
        <w:snapToGrid w:val="0"/>
        <w:ind w:left="619" w:hanging="619" w:hangingChars="295"/>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pPr>
        <w:ind w:left="630" w:hanging="630" w:hangingChars="300"/>
        <w:rPr>
          <w:rFonts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pPr>
        <w:snapToGrid w:val="0"/>
        <w:rPr>
          <w:rFonts w:eastAsia="仿宋" w:cs="Times New Roman"/>
          <w:szCs w:val="21"/>
        </w:rPr>
      </w:pPr>
    </w:p>
    <w:p>
      <w:pPr>
        <w:snapToGrid w:val="0"/>
        <w:ind w:left="630" w:hanging="630" w:hangingChars="300"/>
        <w:rPr>
          <w:rFonts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pPr>
        <w:snapToGrid w:val="0"/>
        <w:ind w:left="598" w:leftChars="285"/>
        <w:rPr>
          <w:rFonts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pPr>
        <w:snapToGrid w:val="0"/>
        <w:rPr>
          <w:rFonts w:eastAsia="仿宋" w:cs="Times New Roman"/>
          <w:szCs w:val="21"/>
        </w:rPr>
      </w:pPr>
    </w:p>
    <w:p>
      <w:pPr>
        <w:snapToGrid w:val="0"/>
        <w:rPr>
          <w:rFonts w:eastAsia="仿宋" w:cs="Times New Roman"/>
          <w:szCs w:val="21"/>
        </w:rPr>
      </w:pPr>
    </w:p>
    <w:p>
      <w:pPr>
        <w:tabs>
          <w:tab w:val="left" w:pos="709"/>
        </w:tabs>
        <w:snapToGrid w:val="0"/>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pPr>
        <w:snapToGrid w:val="0"/>
        <w:rPr>
          <w:rFonts w:eastAsia="仿宋" w:cs="Times New Roman"/>
          <w:b/>
          <w:szCs w:val="21"/>
        </w:rPr>
      </w:pPr>
    </w:p>
    <w:p>
      <w:pPr>
        <w:snapToGrid w:val="0"/>
        <w:ind w:left="619" w:hanging="619" w:hangingChars="295"/>
        <w:rPr>
          <w:rFonts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In the event that the Commodities do not correspond with this warranty, without prejudice to other remedies available to the Buyer, the Seller agrees to replace such defective Commodities free of charge or to issue a credit note for the invoice value of such defective Commodities</w:t>
      </w:r>
      <w:r>
        <w:rPr>
          <w:rFonts w:eastAsia="仿宋" w:cs="Times New Roman"/>
          <w:szCs w:val="21"/>
        </w:rPr>
        <w:t>.</w:t>
      </w:r>
    </w:p>
    <w:p>
      <w:pPr>
        <w:snapToGrid w:val="0"/>
        <w:ind w:left="619" w:hanging="619" w:hangingChars="295"/>
        <w:rPr>
          <w:rFonts w:eastAsia="仿宋" w:cs="Times New Roman"/>
          <w:szCs w:val="21"/>
        </w:rPr>
      </w:pPr>
      <w:r>
        <w:rPr>
          <w:rFonts w:eastAsia="仿宋" w:cs="Times New Roman"/>
          <w:szCs w:val="21"/>
        </w:rPr>
        <w:t xml:space="preserve">      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或在应付发票金额中扣减此类缺陷产品金额。</w:t>
      </w:r>
    </w:p>
    <w:p>
      <w:pPr>
        <w:snapToGrid w:val="0"/>
        <w:ind w:left="619" w:hanging="619" w:hangingChars="295"/>
        <w:rPr>
          <w:rFonts w:eastAsia="仿宋" w:cs="Times New Roman"/>
          <w:szCs w:val="21"/>
        </w:rPr>
      </w:pPr>
    </w:p>
    <w:p>
      <w:pPr>
        <w:snapToGrid w:val="0"/>
        <w:ind w:left="619" w:hanging="619" w:hangingChars="295"/>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pPr>
        <w:snapToGrid w:val="0"/>
        <w:ind w:left="615" w:leftChars="293"/>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pPr>
        <w:snapToGrid w:val="0"/>
        <w:ind w:left="619" w:hanging="619" w:hangingChars="295"/>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pPr>
        <w:snapToGrid w:val="0"/>
        <w:ind w:left="619" w:hanging="619" w:hangingChars="295"/>
        <w:rPr>
          <w:rFonts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pPr>
        <w:snapToGrid w:val="0"/>
        <w:ind w:left="619" w:hanging="619" w:hangingChars="295"/>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pPr>
        <w:ind w:left="630" w:hanging="630" w:hangingChars="300"/>
        <w:rPr>
          <w:rFonts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pPr>
        <w:snapToGrid w:val="0"/>
        <w:ind w:left="619" w:hanging="619" w:hangingChars="295"/>
        <w:rPr>
          <w:rFonts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pPr>
        <w:snapToGrid w:val="0"/>
        <w:ind w:left="619" w:hanging="619" w:hangingChars="295"/>
        <w:rPr>
          <w:rFonts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pPr>
        <w:tabs>
          <w:tab w:val="left" w:pos="1440"/>
        </w:tabs>
        <w:snapToGrid w:val="0"/>
        <w:ind w:left="630" w:hanging="630" w:hangingChars="300"/>
        <w:rPr>
          <w:rFonts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pPr>
        <w:ind w:left="630" w:leftChars="300"/>
        <w:rPr>
          <w:rFonts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pPr>
        <w:snapToGrid w:val="0"/>
        <w:ind w:left="630" w:hanging="630" w:hangingChars="30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pPr>
        <w:snapToGrid w:val="0"/>
        <w:ind w:left="630" w:leftChars="30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pPr>
        <w:tabs>
          <w:tab w:val="left" w:pos="1440"/>
        </w:tabs>
        <w:snapToGrid w:val="0"/>
        <w:ind w:left="630" w:hanging="630" w:hangingChars="300"/>
        <w:rPr>
          <w:rFonts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pPr>
        <w:ind w:left="630" w:leftChars="300"/>
        <w:rPr>
          <w:rFonts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pPr>
        <w:snapToGrid w:val="0"/>
        <w:rPr>
          <w:rFonts w:eastAsia="仿宋" w:cs="Times New Roman"/>
          <w:szCs w:val="21"/>
        </w:rPr>
      </w:pPr>
    </w:p>
    <w:p>
      <w:pPr>
        <w:snapToGrid w:val="0"/>
        <w:rPr>
          <w:rFonts w:eastAsia="仿宋" w:cs="Times New Roman"/>
          <w:szCs w:val="21"/>
        </w:rPr>
      </w:pPr>
    </w:p>
    <w:p>
      <w:pPr>
        <w:tabs>
          <w:tab w:val="left" w:pos="709"/>
        </w:tabs>
        <w:snapToGrid w:val="0"/>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pPr>
        <w:snapToGrid w:val="0"/>
        <w:rPr>
          <w:rFonts w:eastAsia="仿宋" w:cs="Times New Roman"/>
          <w:b/>
          <w:szCs w:val="21"/>
        </w:rPr>
      </w:pPr>
    </w:p>
    <w:p>
      <w:pPr>
        <w:tabs>
          <w:tab w:val="left" w:pos="709"/>
        </w:tabs>
        <w:snapToGrid w:val="0"/>
        <w:ind w:left="619" w:hanging="619" w:hangingChars="295"/>
        <w:rPr>
          <w:rFonts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pPr>
        <w:pStyle w:val="19"/>
        <w:tabs>
          <w:tab w:val="left" w:pos="1080"/>
          <w:tab w:val="left" w:pos="1620"/>
        </w:tabs>
        <w:spacing w:line="240" w:lineRule="auto"/>
        <w:ind w:left="619" w:leftChars="295"/>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pPr>
        <w:tabs>
          <w:tab w:val="left" w:pos="709"/>
        </w:tabs>
        <w:snapToGrid w:val="0"/>
        <w:ind w:left="619" w:hanging="619" w:hangingChars="295"/>
        <w:rPr>
          <w:rFonts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pPr>
        <w:tabs>
          <w:tab w:val="left" w:pos="709"/>
        </w:tabs>
        <w:snapToGrid w:val="0"/>
        <w:ind w:left="619" w:hanging="619" w:hangingChars="295"/>
        <w:rPr>
          <w:rFonts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pPr>
        <w:tabs>
          <w:tab w:val="left" w:pos="709"/>
        </w:tabs>
        <w:snapToGrid w:val="0"/>
        <w:ind w:left="619" w:hanging="619" w:hangingChars="295"/>
        <w:rPr>
          <w:rFonts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pPr>
        <w:ind w:left="630" w:hanging="630" w:hangingChars="300"/>
        <w:rPr>
          <w:rFonts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152" w:name="OLE_LINK17"/>
      <w:r>
        <w:rPr>
          <w:rFonts w:eastAsia="仿宋" w:cs="Times New Roman"/>
          <w:szCs w:val="21"/>
        </w:rPr>
        <w:t>中国主管检验检疫部门</w:t>
      </w:r>
      <w:bookmarkEnd w:id="152"/>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pPr>
        <w:tabs>
          <w:tab w:val="left" w:pos="709"/>
        </w:tabs>
        <w:snapToGrid w:val="0"/>
        <w:ind w:left="619" w:hanging="619" w:hangingChars="295"/>
        <w:rPr>
          <w:rFonts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pPr>
        <w:tabs>
          <w:tab w:val="left" w:pos="709"/>
        </w:tabs>
        <w:snapToGrid w:val="0"/>
        <w:ind w:left="706" w:leftChars="335" w:hanging="3"/>
        <w:rPr>
          <w:rFonts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pPr>
        <w:ind w:left="619" w:hanging="619" w:hangingChars="295"/>
        <w:rPr>
          <w:rFonts w:eastAsia="仿宋" w:cs="Times New Roman"/>
          <w:color w:val="000000"/>
          <w:szCs w:val="21"/>
        </w:rPr>
      </w:pPr>
      <w:r>
        <w:rPr>
          <w:rFonts w:eastAsia="仿宋" w:cs="Times New Roman"/>
          <w:color w:val="000000"/>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color w:val="000000"/>
          <w:szCs w:val="21"/>
        </w:rPr>
        <w:t>Defect</w:t>
      </w:r>
      <w:r>
        <w:rPr>
          <w:rFonts w:eastAsia="仿宋" w:cs="Times New Roman"/>
          <w:color w:val="000000"/>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pPr>
        <w:tabs>
          <w:tab w:val="left" w:pos="709"/>
        </w:tabs>
        <w:snapToGrid w:val="0"/>
        <w:ind w:left="706" w:leftChars="335" w:hanging="3"/>
        <w:rPr>
          <w:rFonts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pPr>
        <w:ind w:left="619" w:leftChars="295"/>
        <w:rPr>
          <w:rFonts w:eastAsia="仿宋" w:cs="Times New Roman"/>
          <w:color w:val="000000"/>
          <w:szCs w:val="21"/>
        </w:rPr>
      </w:pPr>
      <w:r>
        <w:rPr>
          <w:rFonts w:eastAsia="仿宋" w:cs="Times New Roman"/>
          <w:color w:val="000000"/>
          <w:szCs w:val="21"/>
          <w:lang w:val="de-DE"/>
        </w:rPr>
        <w:t>(零部件项目适用)Without prejudice to Article 8.2, t</w:t>
      </w:r>
      <w:r>
        <w:rPr>
          <w:rFonts w:eastAsia="仿宋" w:cs="Times New Roman"/>
          <w:color w:val="000000"/>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pPr>
        <w:tabs>
          <w:tab w:val="left" w:pos="709"/>
        </w:tabs>
        <w:snapToGrid w:val="0"/>
        <w:ind w:left="706" w:leftChars="335" w:hanging="3"/>
        <w:rPr>
          <w:rFonts w:eastAsia="仿宋" w:cs="Times New Roman"/>
          <w:szCs w:val="21"/>
          <w:lang w:val="de-DE"/>
        </w:rPr>
      </w:pPr>
      <w:r>
        <w:rPr>
          <w:rFonts w:eastAsia="仿宋" w:cs="Times New Roman"/>
          <w:szCs w:val="21"/>
        </w:rPr>
        <w:t>在不影响本合同第8.2条的情况下，</w:t>
      </w:r>
      <w:r>
        <w:rPr>
          <w:rFonts w:eastAsia="仿宋" w:cs="Times New Roman"/>
          <w:szCs w:val="21"/>
          <w:lang w:val="de-DE"/>
        </w:rPr>
        <w:t>双方同意运输过程中发生的锈蚀不应视为缺陷。最终用户应对此进行喷砂处理。根据本合同的规定，仅当此类锈蚀无法喷砂除掉时， 有关货物将被作为缺陷产品处理。</w:t>
      </w:r>
    </w:p>
    <w:p>
      <w:pPr>
        <w:tabs>
          <w:tab w:val="left" w:pos="709"/>
        </w:tabs>
        <w:snapToGrid w:val="0"/>
        <w:rPr>
          <w:rFonts w:eastAsia="仿宋" w:cs="Times New Roman"/>
          <w:szCs w:val="21"/>
          <w:lang w:val="de-DE"/>
        </w:rPr>
      </w:pPr>
    </w:p>
    <w:p>
      <w:pPr>
        <w:tabs>
          <w:tab w:val="left" w:pos="709"/>
        </w:tabs>
        <w:snapToGrid w:val="0"/>
        <w:rPr>
          <w:rFonts w:eastAsia="仿宋" w:cs="Times New Roman"/>
          <w:szCs w:val="21"/>
        </w:rPr>
      </w:pPr>
    </w:p>
    <w:p>
      <w:pPr>
        <w:tabs>
          <w:tab w:val="left" w:pos="709"/>
        </w:tabs>
        <w:snapToGrid w:val="0"/>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pPr>
        <w:snapToGrid w:val="0"/>
        <w:rPr>
          <w:rFonts w:eastAsia="仿宋" w:cs="Times New Roman"/>
          <w:szCs w:val="21"/>
        </w:rPr>
      </w:pPr>
    </w:p>
    <w:p>
      <w:pPr>
        <w:snapToGrid w:val="0"/>
        <w:ind w:left="733" w:leftChars="-1" w:hanging="735" w:hangingChars="350"/>
        <w:rPr>
          <w:rFonts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pPr>
        <w:snapToGrid w:val="0"/>
        <w:ind w:left="735" w:leftChars="350"/>
        <w:rPr>
          <w:rFonts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pPr>
        <w:snapToGrid w:val="0"/>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pPr>
        <w:snapToGrid w:val="0"/>
        <w:ind w:left="735" w:leftChars="350"/>
        <w:rPr>
          <w:rFonts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pPr>
        <w:snapToGrid w:val="0"/>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pPr>
        <w:snapToGrid w:val="0"/>
        <w:ind w:left="735" w:leftChars="350"/>
        <w:rPr>
          <w:rFonts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pPr>
        <w:snapToGrid w:val="0"/>
        <w:ind w:left="735" w:hanging="735" w:hangingChars="350"/>
        <w:rPr>
          <w:rFonts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153" w:name="OLE_LINK23"/>
      <w:r>
        <w:rPr>
          <w:rFonts w:eastAsia="仿宋" w:cs="Times New Roman"/>
          <w:szCs w:val="21"/>
        </w:rPr>
        <w:t>Commodities</w:t>
      </w:r>
      <w:bookmarkEnd w:id="153"/>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and/or the Enduser</w:t>
      </w:r>
      <w:r>
        <w:rPr>
          <w:rFonts w:eastAsia="仿宋" w:cs="Times New Roman"/>
          <w:szCs w:val="21"/>
        </w:rPr>
        <w:t xml:space="preserve">. The Seller shall at the same time guarantee the quality of the replaced Commodities for a further corresponding period. </w:t>
      </w:r>
    </w:p>
    <w:p>
      <w:pPr>
        <w:snapToGrid w:val="0"/>
        <w:ind w:left="735" w:leftChars="350"/>
        <w:rPr>
          <w:rFonts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pPr>
        <w:snapToGrid w:val="0"/>
        <w:ind w:left="630" w:hanging="630" w:hangingChars="300"/>
        <w:rPr>
          <w:rFonts w:eastAsia="仿宋" w:cs="Times New Roman"/>
          <w:szCs w:val="21"/>
        </w:rPr>
      </w:pPr>
      <w:r>
        <w:rPr>
          <w:rFonts w:eastAsia="仿宋" w:cs="Times New Roman"/>
          <w:szCs w:val="21"/>
        </w:rPr>
        <w:t>16.</w:t>
      </w:r>
      <w:r>
        <w:rPr>
          <w:rFonts w:hint="eastAsia" w:eastAsia="仿宋" w:cs="Times New Roman"/>
          <w:szCs w:val="21"/>
        </w:rPr>
        <w:t>2</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bookmarkStart w:id="154" w:name="OLE_LINK21"/>
      <w:r>
        <w:rPr>
          <w:rFonts w:hint="eastAsia" w:eastAsia="仿宋" w:cs="Times New Roman"/>
          <w:szCs w:val="21"/>
        </w:rPr>
        <w:t xml:space="preserve">The Buyer is entitled to deduct the claim amount from the Bank Guarantee issued by the Seller or from the payment under negotiation.  </w:t>
      </w:r>
    </w:p>
    <w:bookmarkEnd w:id="154"/>
    <w:p>
      <w:pPr>
        <w:snapToGrid w:val="0"/>
        <w:ind w:left="630" w:leftChars="300"/>
        <w:rPr>
          <w:rFonts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发出索赔通知后60天内卖方未作答复，视为卖方已接受上述索赔。买方有权从卖方开具的银行保函</w:t>
      </w:r>
      <w:r>
        <w:rPr>
          <w:rFonts w:hint="eastAsia" w:eastAsia="仿宋" w:cs="Times New Roman"/>
          <w:szCs w:val="21"/>
        </w:rPr>
        <w:t>或议付款</w:t>
      </w:r>
      <w:r>
        <w:rPr>
          <w:rFonts w:eastAsia="仿宋" w:cs="Times New Roman"/>
          <w:szCs w:val="21"/>
        </w:rPr>
        <w:t>中扣除索赔金额。</w:t>
      </w:r>
    </w:p>
    <w:p>
      <w:pPr>
        <w:ind w:left="619" w:hanging="619" w:hangingChars="295"/>
        <w:rPr>
          <w:rFonts w:eastAsia="仿宋" w:cs="Times New Roman"/>
          <w:color w:val="000000"/>
          <w:szCs w:val="21"/>
        </w:rPr>
      </w:pPr>
      <w:r>
        <w:rPr>
          <w:rFonts w:eastAsia="仿宋" w:cs="Times New Roman"/>
          <w:color w:val="000000"/>
          <w:szCs w:val="21"/>
          <w:lang w:val="de-DE"/>
        </w:rPr>
        <w:t xml:space="preserve">16.3  </w:t>
      </w:r>
      <w:r>
        <w:rPr>
          <w:rFonts w:eastAsia="仿宋" w:cs="Times New Roman"/>
          <w:i/>
          <w:iCs/>
          <w:color w:val="000000"/>
          <w:szCs w:val="21"/>
          <w:lang w:val="de-DE"/>
        </w:rPr>
        <w:t>(零部件项目适用)</w:t>
      </w:r>
      <w:r>
        <w:rPr>
          <w:rFonts w:eastAsia="仿宋" w:cs="Times New Roman"/>
          <w:color w:val="000000"/>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pPr>
        <w:ind w:left="619" w:leftChars="295"/>
        <w:rPr>
          <w:rFonts w:eastAsia="仿宋" w:cs="Times New Roman"/>
          <w:color w:val="000000"/>
          <w:szCs w:val="21"/>
        </w:rPr>
      </w:pPr>
      <w:r>
        <w:rPr>
          <w:rFonts w:eastAsia="仿宋" w:cs="Times New Roman"/>
          <w:color w:val="000000"/>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pPr>
        <w:ind w:left="619" w:leftChars="295"/>
        <w:rPr>
          <w:rFonts w:eastAsia="仿宋" w:cs="Times New Roman"/>
          <w:color w:val="000000"/>
          <w:szCs w:val="21"/>
        </w:rPr>
      </w:pPr>
      <w:r>
        <w:rPr>
          <w:rFonts w:eastAsia="仿宋" w:cs="Times New Roman"/>
          <w:color w:val="000000"/>
          <w:szCs w:val="21"/>
        </w:rPr>
        <w:t>若货物被最终用户及/或买方视为缺陷产品，则最终用户或买方有权要求另外发货，而对于每个缺陷产品，卖方应向最终用户或买方额外提供5个合格产品。</w:t>
      </w:r>
    </w:p>
    <w:p>
      <w:pPr>
        <w:ind w:left="619" w:leftChars="295"/>
        <w:rPr>
          <w:rFonts w:eastAsia="仿宋" w:cs="Times New Roman"/>
          <w:color w:val="000000"/>
          <w:szCs w:val="21"/>
        </w:rPr>
      </w:pPr>
      <w:r>
        <w:rPr>
          <w:rFonts w:eastAsia="仿宋" w:cs="Times New Roman"/>
          <w:color w:val="000000"/>
          <w:szCs w:val="21"/>
        </w:rPr>
        <w:t>买方或最终用户有义务</w:t>
      </w:r>
      <w:r>
        <w:rPr>
          <w:rFonts w:hint="eastAsia" w:eastAsia="仿宋" w:cs="Times New Roman"/>
          <w:color w:val="000000"/>
          <w:szCs w:val="21"/>
        </w:rPr>
        <w:t>在其处所</w:t>
      </w:r>
      <w:r>
        <w:rPr>
          <w:rFonts w:eastAsia="仿宋" w:cs="Times New Roman"/>
          <w:color w:val="000000"/>
          <w:szCs w:val="21"/>
        </w:rPr>
        <w:t xml:space="preserve">保留缺陷产品。若卖方要求，买方或最终用户应把缺陷产品发给卖方以供检查。或者，应卖方要求，由双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pPr>
        <w:ind w:left="619" w:leftChars="295"/>
        <w:rPr>
          <w:rFonts w:eastAsia="仿宋" w:cs="Times New Roman"/>
          <w:color w:val="000000"/>
          <w:szCs w:val="21"/>
        </w:rPr>
      </w:pPr>
      <w:r>
        <w:rPr>
          <w:rFonts w:eastAsia="仿宋" w:cs="Times New Roman"/>
          <w:color w:val="000000"/>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pPr>
        <w:ind w:left="619" w:leftChars="295"/>
        <w:rPr>
          <w:rFonts w:eastAsia="仿宋" w:cs="Times New Roman"/>
          <w:color w:val="000000"/>
          <w:szCs w:val="21"/>
        </w:rPr>
      </w:pPr>
      <w:r>
        <w:rPr>
          <w:rFonts w:eastAsia="仿宋" w:cs="Times New Roman"/>
          <w:color w:val="000000"/>
          <w:szCs w:val="21"/>
        </w:rPr>
        <w:t>如有批量性故障，卖方应向最终用户提供支持并派遣人员协助鉴定，因批量性故障原因，召回、服务等具体服务条款的相关事宜另行商定。</w:t>
      </w:r>
    </w:p>
    <w:p>
      <w:pPr>
        <w:snapToGrid w:val="0"/>
        <w:rPr>
          <w:rFonts w:eastAsia="仿宋" w:cs="Times New Roman"/>
          <w:szCs w:val="21"/>
          <w:lang w:val="de-DE"/>
        </w:rPr>
      </w:pPr>
    </w:p>
    <w:p>
      <w:pPr>
        <w:snapToGrid w:val="0"/>
        <w:ind w:left="630" w:leftChars="300"/>
        <w:rPr>
          <w:rFonts w:eastAsia="仿宋" w:cs="Times New Roman"/>
          <w:szCs w:val="21"/>
        </w:rPr>
      </w:pPr>
    </w:p>
    <w:p>
      <w:pPr>
        <w:numPr>
          <w:ilvl w:val="0"/>
          <w:numId w:val="16"/>
        </w:numPr>
        <w:snapToGrid w:val="0"/>
        <w:rPr>
          <w:rFonts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pPr>
        <w:numPr>
          <w:ilvl w:val="255"/>
          <w:numId w:val="0"/>
        </w:numPr>
        <w:snapToGrid w:val="0"/>
        <w:rPr>
          <w:rFonts w:eastAsia="仿宋" w:cs="Times New Roman"/>
          <w:szCs w:val="21"/>
        </w:rPr>
      </w:pPr>
    </w:p>
    <w:p>
      <w:pPr>
        <w:snapToGrid w:val="0"/>
        <w:ind w:left="630" w:hanging="630" w:hangingChars="300"/>
        <w:rPr>
          <w:rFonts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pPr>
        <w:snapToGrid w:val="0"/>
        <w:ind w:left="630" w:leftChars="300"/>
        <w:rPr>
          <w:rFonts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pPr>
        <w:numPr>
          <w:ilvl w:val="255"/>
          <w:numId w:val="0"/>
        </w:numPr>
        <w:snapToGrid w:val="0"/>
        <w:ind w:left="598" w:leftChars="285"/>
        <w:rPr>
          <w:rFonts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w:t>
      </w:r>
      <w:r>
        <w:rPr>
          <w:rFonts w:ascii="Arial" w:hAnsi="Arial" w:eastAsia="楷体_GB2312"/>
          <w:color w:val="000000"/>
          <w:szCs w:val="21"/>
        </w:rPr>
        <w:t>Commodities</w:t>
      </w:r>
      <w:r>
        <w:rPr>
          <w:rFonts w:eastAsia="仿宋" w:cs="Times New Roman"/>
          <w:szCs w:val="21"/>
        </w:rPr>
        <w:t xml:space="preserve">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pPr>
        <w:snapToGrid w:val="0"/>
        <w:ind w:left="609" w:leftChars="290"/>
        <w:rPr>
          <w:rFonts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pPr>
        <w:snapToGrid w:val="0"/>
        <w:ind w:left="598" w:leftChars="285"/>
        <w:rPr>
          <w:rFonts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pPr>
        <w:snapToGrid w:val="0"/>
        <w:ind w:left="630" w:leftChars="300"/>
        <w:rPr>
          <w:rFonts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pPr>
        <w:snapToGrid w:val="0"/>
        <w:rPr>
          <w:rFonts w:eastAsia="仿宋" w:cs="Times New Roman"/>
          <w:szCs w:val="21"/>
        </w:rPr>
      </w:pPr>
    </w:p>
    <w:p>
      <w:pPr>
        <w:snapToGrid w:val="0"/>
        <w:rPr>
          <w:rFonts w:eastAsia="仿宋" w:cs="Times New Roman"/>
          <w:szCs w:val="21"/>
        </w:rPr>
      </w:pPr>
    </w:p>
    <w:p>
      <w:pPr>
        <w:tabs>
          <w:tab w:val="left" w:pos="615"/>
        </w:tabs>
        <w:snapToGrid w:val="0"/>
        <w:rPr>
          <w:rFonts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pPr>
        <w:snapToGrid w:val="0"/>
        <w:rPr>
          <w:rFonts w:eastAsia="仿宋" w:cs="Times New Roman"/>
          <w:szCs w:val="21"/>
        </w:rPr>
      </w:pPr>
    </w:p>
    <w:p>
      <w:pPr>
        <w:ind w:left="550" w:hanging="550" w:hangingChars="262"/>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pPr>
        <w:ind w:left="550" w:hanging="550" w:hangingChars="262"/>
        <w:rPr>
          <w:rFonts w:eastAsia="仿宋" w:cs="Times New Roman"/>
          <w:szCs w:val="21"/>
        </w:rPr>
      </w:pPr>
      <w:r>
        <w:rPr>
          <w:rFonts w:hint="eastAsia" w:eastAsia="仿宋" w:cs="Times New Roman"/>
          <w:szCs w:val="21"/>
        </w:rPr>
        <w:t xml:space="preserve"> </w:t>
      </w:r>
    </w:p>
    <w:p>
      <w:pPr>
        <w:ind w:left="525" w:leftChars="250"/>
        <w:rPr>
          <w:rFonts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pPr>
        <w:snapToGrid w:val="0"/>
        <w:ind w:left="598" w:leftChars="-60" w:hanging="724" w:hangingChars="345"/>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pPr>
        <w:ind w:left="630" w:leftChars="300"/>
        <w:rPr>
          <w:rFonts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pPr>
        <w:ind w:left="548" w:leftChars="-50" w:hanging="653" w:hangingChars="311"/>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pPr>
        <w:tabs>
          <w:tab w:val="left" w:pos="709"/>
        </w:tabs>
        <w:snapToGrid w:val="0"/>
        <w:ind w:left="525" w:leftChars="250"/>
        <w:rPr>
          <w:rFonts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pPr>
        <w:tabs>
          <w:tab w:val="left" w:pos="709"/>
        </w:tabs>
        <w:snapToGrid w:val="0"/>
        <w:ind w:left="525" w:leftChars="-50" w:hanging="630" w:hangingChars="300"/>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pPr>
        <w:tabs>
          <w:tab w:val="left" w:pos="525"/>
        </w:tabs>
        <w:snapToGrid w:val="0"/>
        <w:ind w:left="514" w:leftChars="245"/>
        <w:rPr>
          <w:rFonts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pPr>
        <w:snapToGrid w:val="0"/>
        <w:rPr>
          <w:rFonts w:eastAsia="仿宋" w:cs="Times New Roman"/>
          <w:b/>
          <w:szCs w:val="21"/>
        </w:rPr>
      </w:pPr>
    </w:p>
    <w:p>
      <w:pPr>
        <w:snapToGrid w:val="0"/>
        <w:rPr>
          <w:rFonts w:eastAsia="仿宋" w:cs="Times New Roman"/>
          <w:b/>
          <w:szCs w:val="21"/>
        </w:rPr>
      </w:pPr>
    </w:p>
    <w:p>
      <w:pPr>
        <w:snapToGrid w:val="0"/>
        <w:rPr>
          <w:rFonts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pPr>
        <w:snapToGrid w:val="0"/>
        <w:rPr>
          <w:rFonts w:eastAsia="仿宋" w:cs="Times New Roman"/>
          <w:szCs w:val="21"/>
        </w:rPr>
      </w:pPr>
    </w:p>
    <w:p>
      <w:pPr>
        <w:numPr>
          <w:ilvl w:val="255"/>
          <w:numId w:val="0"/>
        </w:numPr>
        <w:snapToGrid w:val="0"/>
        <w:ind w:left="630" w:hanging="630" w:hangingChars="300"/>
        <w:rPr>
          <w:rFonts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pPr>
        <w:snapToGrid w:val="0"/>
        <w:ind w:firstLine="525" w:firstLineChars="250"/>
        <w:rPr>
          <w:rFonts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pPr>
        <w:snapToGrid w:val="0"/>
        <w:ind w:left="523" w:leftChars="249"/>
        <w:rPr>
          <w:rFonts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pPr>
        <w:snapToGrid w:val="0"/>
        <w:ind w:left="525" w:leftChars="250"/>
        <w:rPr>
          <w:rFonts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pPr>
        <w:snapToGrid w:val="0"/>
        <w:ind w:left="525" w:leftChars="250"/>
        <w:rPr>
          <w:rFonts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pPr>
        <w:snapToGrid w:val="0"/>
        <w:ind w:left="525" w:leftChars="6" w:hanging="512" w:hangingChars="244"/>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pPr>
        <w:snapToGrid w:val="0"/>
        <w:ind w:left="525" w:leftChars="250"/>
        <w:rPr>
          <w:rFonts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pPr>
        <w:rPr>
          <w:rFonts w:eastAsia="仿宋" w:cs="Times New Roman"/>
          <w:szCs w:val="21"/>
        </w:rPr>
      </w:pPr>
      <w:r>
        <w:rPr>
          <w:rFonts w:eastAsia="仿宋" w:cs="Times New Roman"/>
          <w:szCs w:val="21"/>
        </w:rPr>
        <w:t xml:space="preserve">     仲裁期间，除正在进行的仲裁部分外，本合同其他部分仍继续执行。</w:t>
      </w:r>
    </w:p>
    <w:p>
      <w:pPr>
        <w:snapToGrid w:val="0"/>
        <w:ind w:left="527" w:leftChars="-44" w:hanging="619" w:hangingChars="295"/>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pPr>
        <w:ind w:firstLine="525" w:firstLineChars="250"/>
        <w:rPr>
          <w:rFonts w:eastAsia="仿宋" w:cs="Times New Roman"/>
          <w:szCs w:val="21"/>
        </w:rPr>
      </w:pPr>
      <w:r>
        <w:rPr>
          <w:rFonts w:eastAsia="仿宋" w:cs="Times New Roman"/>
          <w:szCs w:val="21"/>
        </w:rPr>
        <w:t>仲裁费用除贸仲仲裁委员会另有决定外，由败诉一方承担。</w:t>
      </w:r>
    </w:p>
    <w:p>
      <w:pPr>
        <w:snapToGrid w:val="0"/>
        <w:rPr>
          <w:rFonts w:eastAsia="仿宋" w:cs="Times New Roman"/>
          <w:szCs w:val="21"/>
        </w:rPr>
      </w:pPr>
    </w:p>
    <w:p>
      <w:pPr>
        <w:snapToGrid w:val="0"/>
        <w:rPr>
          <w:rFonts w:eastAsia="仿宋" w:cs="Times New Roman"/>
          <w:szCs w:val="21"/>
        </w:rPr>
      </w:pPr>
    </w:p>
    <w:p>
      <w:pPr>
        <w:snapToGrid w:val="0"/>
        <w:rPr>
          <w:rFonts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pPr>
        <w:snapToGrid w:val="0"/>
        <w:rPr>
          <w:rFonts w:eastAsia="仿宋" w:cs="Times New Roman"/>
          <w:b/>
          <w:szCs w:val="21"/>
        </w:rPr>
      </w:pPr>
    </w:p>
    <w:p>
      <w:pPr>
        <w:snapToGrid w:val="0"/>
        <w:ind w:left="525" w:leftChars="250"/>
        <w:rPr>
          <w:rFonts w:eastAsia="仿宋" w:cs="Times New Roman"/>
          <w:szCs w:val="21"/>
        </w:rPr>
      </w:pPr>
      <w:r>
        <w:rPr>
          <w:rFonts w:eastAsia="仿宋" w:cs="Times New Roman"/>
          <w:szCs w:val="21"/>
        </w:rPr>
        <w:t>This Contract shall be governed by and interpreted in accordance with the laws of the PRC.</w:t>
      </w:r>
    </w:p>
    <w:p>
      <w:pPr>
        <w:ind w:firstLine="525" w:firstLineChars="250"/>
        <w:rPr>
          <w:rFonts w:eastAsia="仿宋" w:cs="Times New Roman"/>
          <w:szCs w:val="21"/>
        </w:rPr>
      </w:pPr>
      <w:r>
        <w:rPr>
          <w:rFonts w:eastAsia="仿宋" w:cs="Times New Roman"/>
          <w:szCs w:val="21"/>
        </w:rPr>
        <w:t>本合同适用中国法律管辖并按照中国法律进行解释。</w:t>
      </w:r>
    </w:p>
    <w:p>
      <w:pPr>
        <w:snapToGrid w:val="0"/>
        <w:rPr>
          <w:rFonts w:eastAsia="仿宋" w:cs="Times New Roman"/>
          <w:szCs w:val="21"/>
        </w:rPr>
      </w:pPr>
    </w:p>
    <w:p>
      <w:pPr>
        <w:snapToGrid w:val="0"/>
        <w:rPr>
          <w:rFonts w:eastAsia="仿宋" w:cs="Times New Roman"/>
          <w:szCs w:val="21"/>
        </w:rPr>
      </w:pPr>
    </w:p>
    <w:p>
      <w:pPr>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pPr>
        <w:rPr>
          <w:rFonts w:eastAsia="仿宋" w:cs="Times New Roman"/>
          <w:b/>
          <w:szCs w:val="21"/>
          <w:lang w:eastAsia="zh-TW"/>
        </w:rPr>
      </w:pPr>
      <w:r>
        <w:rPr>
          <w:rFonts w:eastAsia="仿宋" w:cs="Times New Roman"/>
          <w:b/>
          <w:sz w:val="24"/>
          <w:szCs w:val="24"/>
        </w:rPr>
        <w:t>合同的生效及其他</w:t>
      </w:r>
    </w:p>
    <w:p>
      <w:pPr>
        <w:snapToGrid w:val="0"/>
        <w:rPr>
          <w:rFonts w:eastAsia="仿宋" w:cs="Times New Roman"/>
          <w:b/>
          <w:szCs w:val="21"/>
        </w:rPr>
      </w:pPr>
    </w:p>
    <w:p>
      <w:pPr>
        <w:numPr>
          <w:ilvl w:val="255"/>
          <w:numId w:val="0"/>
        </w:numPr>
        <w:tabs>
          <w:tab w:val="left" w:pos="630"/>
        </w:tabs>
        <w:rPr>
          <w:rFonts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pPr>
        <w:ind w:firstLine="735" w:firstLineChars="350"/>
        <w:rPr>
          <w:rFonts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pPr>
        <w:snapToGrid w:val="0"/>
        <w:ind w:left="598" w:leftChars="49" w:hanging="495" w:hangingChars="236"/>
        <w:rPr>
          <w:rFonts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pPr>
        <w:ind w:left="630" w:hanging="630" w:hangingChars="300"/>
        <w:rPr>
          <w:rFonts w:eastAsia="仿宋" w:cs="Times New Roman"/>
          <w:szCs w:val="21"/>
        </w:rPr>
      </w:pPr>
      <w:r>
        <w:rPr>
          <w:rFonts w:eastAsia="仿宋" w:cs="Times New Roman"/>
          <w:color w:val="000000"/>
          <w:szCs w:val="21"/>
        </w:rPr>
        <w:t>21.3  If any</w:t>
      </w:r>
      <w:r>
        <w:rPr>
          <w:rFonts w:eastAsia="仿宋" w:cs="Times New Roman"/>
          <w:iCs/>
          <w:color w:val="000000"/>
          <w:szCs w:val="21"/>
        </w:rPr>
        <w:t xml:space="preserve"> Quality Guarantee Agreement /</w:t>
      </w:r>
      <w:r>
        <w:rPr>
          <w:rFonts w:eastAsia="仿宋" w:cs="Times New Roman"/>
          <w:szCs w:val="21"/>
          <w:lang w:eastAsia="zh-TW"/>
        </w:rPr>
        <w:t xml:space="preserve"> Technical Agreement</w:t>
      </w:r>
      <w:r>
        <w:rPr>
          <w:rFonts w:eastAsia="仿宋" w:cs="Times New Roman"/>
          <w:iCs/>
          <w:color w:val="000000"/>
          <w:szCs w:val="21"/>
        </w:rPr>
        <w:t xml:space="preserve"> will be</w:t>
      </w:r>
      <w:r>
        <w:rPr>
          <w:rFonts w:eastAsia="仿宋" w:cs="Times New Roman"/>
          <w:color w:val="000000"/>
          <w:szCs w:val="21"/>
        </w:rPr>
        <w:t xml:space="preserve"> agreed on between the Seller and the Endusr, It shall form an integral part of this Agreement.. </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color w:val="000000"/>
          <w:szCs w:val="21"/>
        </w:rPr>
      </w:pPr>
      <w:r>
        <w:rPr>
          <w:rFonts w:eastAsia="仿宋" w:cs="Times New Roman"/>
          <w:color w:val="000000"/>
          <w:szCs w:val="21"/>
        </w:rPr>
        <w:t>如果有买卖双方达成一致的质量保证协议，则它将作为本合同不可分割的一部分。</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10" w:hanging="210" w:hangingChars="100"/>
        <w:rPr>
          <w:rFonts w:eastAsia="仿宋" w:cs="Times New Roman"/>
          <w:color w:val="000000"/>
          <w:szCs w:val="21"/>
        </w:rPr>
      </w:pPr>
      <w:r>
        <w:rPr>
          <w:rFonts w:eastAsia="仿宋" w:cs="Times New Roman"/>
          <w:color w:val="000000"/>
          <w:szCs w:val="21"/>
        </w:rPr>
        <w:t xml:space="preserve">21.4 </w:t>
      </w:r>
      <w:r>
        <w:rPr>
          <w:rFonts w:hint="eastAsia" w:eastAsia="仿宋" w:cs="Times New Roman"/>
          <w:color w:val="000000"/>
          <w:szCs w:val="21"/>
        </w:rPr>
        <w:t xml:space="preserve"> </w:t>
      </w:r>
      <w:r>
        <w:rPr>
          <w:rFonts w:eastAsia="仿宋" w:cs="Times New Roman"/>
          <w:color w:val="000000"/>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color w:val="000000"/>
          <w:szCs w:val="21"/>
        </w:rPr>
        <w:t xml:space="preserve"> </w:t>
      </w:r>
      <w:r>
        <w:rPr>
          <w:rFonts w:eastAsia="仿宋" w:cs="Times New Roman"/>
          <w:color w:val="000000"/>
          <w:szCs w:val="21"/>
        </w:rPr>
        <w:t>signed by Parties, the Quality Assurance Agreement /</w:t>
      </w:r>
      <w:r>
        <w:rPr>
          <w:rFonts w:eastAsia="仿宋" w:cs="Times New Roman"/>
          <w:szCs w:val="21"/>
          <w:lang w:eastAsia="zh-TW"/>
        </w:rPr>
        <w:t xml:space="preserve"> Technical Agreement</w:t>
      </w:r>
      <w:r>
        <w:rPr>
          <w:rFonts w:eastAsia="仿宋" w:cs="Times New Roman"/>
          <w:color w:val="000000"/>
          <w:szCs w:val="21"/>
        </w:rPr>
        <w:t xml:space="preserve"> shall prevail.</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color w:val="000000"/>
          <w:szCs w:val="21"/>
        </w:rPr>
      </w:pPr>
      <w:r>
        <w:rPr>
          <w:rFonts w:eastAsia="仿宋" w:cs="Times New Roman"/>
          <w:color w:val="000000"/>
          <w:szCs w:val="21"/>
        </w:rPr>
        <w:t>当本合同的条款和双方签订的质量保证协议条款有冲突或矛盾时，优先适用质量保证协议。</w:t>
      </w:r>
    </w:p>
    <w:p>
      <w:pPr>
        <w:snapToGrid w:val="0"/>
        <w:ind w:left="598" w:leftChars="49" w:hanging="495" w:hangingChars="236"/>
        <w:rPr>
          <w:rFonts w:eastAsia="仿宋" w:cs="Times New Roman"/>
          <w:szCs w:val="21"/>
        </w:rPr>
      </w:pPr>
    </w:p>
    <w:p>
      <w:pPr>
        <w:pStyle w:val="125"/>
        <w:numPr>
          <w:ilvl w:val="0"/>
          <w:numId w:val="17"/>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hAnsi="Arial" w:eastAsia="楷体_GB2312"/>
          <w:b/>
          <w:color w:val="000000"/>
          <w:szCs w:val="21"/>
        </w:rPr>
      </w:pPr>
      <w:r>
        <w:rPr>
          <w:rFonts w:eastAsia="仿宋" w:cs="Times New Roman"/>
          <w:b/>
          <w:sz w:val="24"/>
          <w:szCs w:val="24"/>
        </w:rPr>
        <w:t>Maintenance of Confidentiality 保密</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 xml:space="preserve">1). </w:t>
      </w:r>
      <w:r>
        <w:rPr>
          <w:rFonts w:eastAsia="楷体_GB2312" w:cs="Times New Roman"/>
          <w:color w:val="000000"/>
          <w:szCs w:val="21"/>
          <w:u w:val="single"/>
        </w:rPr>
        <w:t>Definition of Confidentiality.</w:t>
      </w:r>
      <w:r>
        <w:rPr>
          <w:rFonts w:eastAsia="楷体_GB2312" w:cs="Times New Roman"/>
          <w:color w:val="000000"/>
          <w:szCs w:val="21"/>
        </w:rPr>
        <w:tab/>
      </w:r>
      <w:r>
        <w:rPr>
          <w:rFonts w:eastAsia="楷体_GB2312" w:cs="Times New Roman"/>
          <w:color w:val="000000"/>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保密定义：</w:t>
      </w:r>
      <w:r>
        <w:rPr>
          <w:rFonts w:hint="eastAsia" w:ascii="仿宋" w:hAnsi="仿宋" w:eastAsia="仿宋" w:cs="仿宋"/>
          <w:color w:val="000000"/>
          <w:szCs w:val="21"/>
        </w:rPr>
        <w:t>“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2).</w:t>
      </w:r>
      <w:r>
        <w:rPr>
          <w:rFonts w:eastAsia="楷体_GB2312" w:cs="Times New Roman"/>
          <w:color w:val="000000"/>
          <w:szCs w:val="21"/>
          <w:u w:val="single"/>
        </w:rPr>
        <w:t>Nondisclosure and Nonuse Obligation.</w:t>
      </w:r>
      <w:r>
        <w:rPr>
          <w:rFonts w:eastAsia="楷体_GB2312" w:cs="Times New Roman"/>
          <w:color w:val="000000"/>
          <w:szCs w:val="21"/>
        </w:rPr>
        <w:tab/>
      </w:r>
      <w:r>
        <w:rPr>
          <w:rFonts w:eastAsia="楷体_GB2312" w:cs="Times New Roman"/>
          <w:color w:val="000000"/>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非披露和不使用义务。</w:t>
      </w:r>
      <w:r>
        <w:rPr>
          <w:rFonts w:hint="eastAsia" w:ascii="仿宋" w:hAnsi="仿宋" w:eastAsia="仿宋" w:cs="仿宋"/>
          <w:color w:val="000000"/>
          <w:szCs w:val="21"/>
        </w:rPr>
        <w:t>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3).</w:t>
      </w:r>
      <w:r>
        <w:rPr>
          <w:rFonts w:eastAsia="楷体_GB2312" w:cs="Times New Roman"/>
          <w:color w:val="000000"/>
          <w:szCs w:val="21"/>
          <w:u w:val="single"/>
        </w:rPr>
        <w:t>Survival.</w:t>
      </w:r>
      <w:r>
        <w:rPr>
          <w:rFonts w:eastAsia="楷体_GB2312" w:cs="Times New Roman"/>
          <w:color w:val="000000"/>
          <w:szCs w:val="21"/>
        </w:rPr>
        <w:t xml:space="preserve"> This Clause shall govern all communications between the Parties. Each Party understands that its obligations under this Clause shall survive the termination of this Agreement,.</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有效性。</w:t>
      </w:r>
      <w:r>
        <w:rPr>
          <w:rFonts w:hint="eastAsia" w:ascii="仿宋" w:hAnsi="仿宋" w:eastAsia="仿宋" w:cs="仿宋"/>
          <w:color w:val="000000"/>
          <w:szCs w:val="21"/>
        </w:rPr>
        <w:t>本条款适用于双方之间的所有联络。各方均理解他们本条款的义务在本协议终止后仍有效。</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color w:val="000000"/>
          <w:szCs w:val="21"/>
        </w:rPr>
      </w:pPr>
    </w:p>
    <w:p>
      <w:pPr>
        <w:tabs>
          <w:tab w:val="left" w:pos="709"/>
        </w:tabs>
        <w:snapToGrid w:val="0"/>
        <w:ind w:hanging="142"/>
        <w:rPr>
          <w:rFonts w:eastAsia="仿宋" w:cs="Times New Roman"/>
          <w:szCs w:val="21"/>
        </w:rPr>
      </w:pPr>
    </w:p>
    <w:p>
      <w:pPr>
        <w:tabs>
          <w:tab w:val="left" w:pos="567"/>
        </w:tabs>
        <w:snapToGrid w:val="0"/>
        <w:rPr>
          <w:rFonts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pPr>
        <w:snapToGrid w:val="0"/>
        <w:rPr>
          <w:rFonts w:eastAsia="仿宋" w:cs="Times New Roman"/>
          <w:szCs w:val="21"/>
        </w:rPr>
      </w:pPr>
    </w:p>
    <w:p>
      <w:pPr>
        <w:snapToGrid w:val="0"/>
        <w:ind w:left="598" w:leftChars="285"/>
        <w:rPr>
          <w:rFonts w:eastAsia="仿宋" w:cs="Times New Roman"/>
          <w:szCs w:val="21"/>
        </w:rPr>
      </w:pPr>
      <w:r>
        <w:rPr>
          <w:rFonts w:eastAsia="仿宋" w:cs="Times New Roman"/>
          <w:szCs w:val="21"/>
        </w:rPr>
        <w:t xml:space="preserve">Without prejudice to any other rights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r>
        <w:rPr>
          <w:rFonts w:eastAsia="仿宋" w:cs="Times New Roman"/>
          <w:b/>
          <w:szCs w:val="21"/>
        </w:rPr>
        <w:t xml:space="preserve"> </w:t>
      </w:r>
    </w:p>
    <w:p>
      <w:pPr>
        <w:ind w:left="630" w:leftChars="30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p>
    <w:p>
      <w:pPr>
        <w:ind w:left="630" w:leftChars="300"/>
        <w:rPr>
          <w:rFonts w:eastAsia="仿宋" w:cs="Times New Roman"/>
          <w:szCs w:val="21"/>
        </w:rPr>
      </w:pPr>
    </w:p>
    <w:p>
      <w:pPr>
        <w:snapToGrid w:val="0"/>
        <w:ind w:left="619" w:hanging="619" w:hangingChars="295"/>
        <w:rPr>
          <w:rFonts w:eastAsia="仿宋" w:cs="Times New Roman"/>
          <w:szCs w:val="21"/>
        </w:rPr>
      </w:pPr>
    </w:p>
    <w:p>
      <w:pPr>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u w:val="single"/>
        </w:rPr>
        <w:t>Authority</w:t>
      </w:r>
      <w:r>
        <w:rPr>
          <w:rFonts w:eastAsia="仿宋" w:cs="Times New Roman"/>
          <w:szCs w:val="21"/>
        </w:rPr>
        <w:t xml:space="preserve">.  </w:t>
      </w:r>
      <w:bookmarkStart w:id="155" w:name="OLE_LINK2"/>
      <w:r>
        <w:rPr>
          <w:rFonts w:eastAsia="仿宋" w:cs="Times New Roman"/>
          <w:szCs w:val="21"/>
        </w:rPr>
        <w:t xml:space="preserve">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bookmarkEnd w:id="155"/>
    <w:p>
      <w:pPr>
        <w:tabs>
          <w:tab w:val="left" w:pos="709"/>
        </w:tabs>
        <w:snapToGrid w:val="0"/>
        <w:ind w:left="708"/>
        <w:rPr>
          <w:rFonts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u w:val="single"/>
        </w:rPr>
        <w:t xml:space="preserve">Time. </w:t>
      </w:r>
      <w:bookmarkStart w:id="156" w:name="OLE_LINK4"/>
      <w:bookmarkStart w:id="157" w:name="OLE_LINK3"/>
      <w:bookmarkStart w:id="158" w:name="OLE_LINK10"/>
      <w:r>
        <w:rPr>
          <w:rFonts w:eastAsia="仿宋" w:cs="Times New Roman"/>
          <w:szCs w:val="21"/>
        </w:rPr>
        <w:t>Time shall be of the essence of this Contract</w:t>
      </w:r>
      <w:bookmarkEnd w:id="156"/>
      <w:bookmarkEnd w:id="157"/>
      <w:r>
        <w:rPr>
          <w:rFonts w:eastAsia="仿宋" w:cs="Times New Roman"/>
          <w:szCs w:val="21"/>
        </w:rPr>
        <w:t>.</w:t>
      </w:r>
      <w:bookmarkEnd w:id="158"/>
    </w:p>
    <w:p>
      <w:pPr>
        <w:tabs>
          <w:tab w:val="left" w:pos="709"/>
        </w:tabs>
        <w:snapToGrid w:val="0"/>
        <w:rPr>
          <w:rFonts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u w:val="single"/>
        </w:rPr>
        <w:t>Originals</w:t>
      </w:r>
      <w:r>
        <w:rPr>
          <w:rFonts w:eastAsia="仿宋" w:cs="Times New Roman"/>
          <w:szCs w:val="21"/>
        </w:rPr>
        <w:t xml:space="preserve">.  This Contract shall be executed in six (6) original copies. </w:t>
      </w:r>
    </w:p>
    <w:p>
      <w:pPr>
        <w:tabs>
          <w:tab w:val="left" w:pos="709"/>
        </w:tabs>
        <w:snapToGrid w:val="0"/>
        <w:ind w:firstLine="735" w:firstLineChars="350"/>
        <w:rPr>
          <w:rFonts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u w:val="single"/>
        </w:rPr>
        <w:t>Headings</w:t>
      </w:r>
      <w:r>
        <w:rPr>
          <w:rFonts w:eastAsia="仿宋" w:cs="Times New Roman"/>
          <w:szCs w:val="21"/>
        </w:rPr>
        <w:t xml:space="preserve">.  </w:t>
      </w:r>
      <w:bookmarkStart w:id="159" w:name="OLE_LINK6"/>
      <w:bookmarkStart w:id="160" w:name="OLE_LINK5"/>
      <w:r>
        <w:rPr>
          <w:rFonts w:eastAsia="仿宋" w:cs="Times New Roman"/>
          <w:szCs w:val="21"/>
        </w:rPr>
        <w:t>The headings in this Contract are for convenience only</w:t>
      </w:r>
      <w:bookmarkEnd w:id="159"/>
      <w:bookmarkEnd w:id="160"/>
      <w:r>
        <w:rPr>
          <w:rFonts w:eastAsia="仿宋" w:cs="Times New Roman"/>
          <w:szCs w:val="21"/>
        </w:rPr>
        <w:t>.</w:t>
      </w:r>
    </w:p>
    <w:p>
      <w:pPr>
        <w:tabs>
          <w:tab w:val="left" w:pos="709"/>
        </w:tabs>
        <w:snapToGrid w:val="0"/>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u w:val="single"/>
        </w:rPr>
        <w:t>Appendices</w:t>
      </w:r>
      <w:r>
        <w:rPr>
          <w:rFonts w:eastAsia="仿宋" w:cs="Times New Roman"/>
          <w:szCs w:val="21"/>
        </w:rPr>
        <w:t xml:space="preserve">.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pPr>
        <w:tabs>
          <w:tab w:val="left" w:pos="709"/>
        </w:tabs>
        <w:snapToGrid w:val="0"/>
        <w:ind w:left="619" w:hanging="619" w:hangingChars="295"/>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u w:val="single"/>
        </w:rPr>
        <w:t>Language</w:t>
      </w:r>
      <w:r>
        <w:rPr>
          <w:rFonts w:eastAsia="仿宋" w:cs="Times New Roman"/>
          <w:szCs w:val="21"/>
        </w:rPr>
        <w:t>.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pPr>
        <w:snapToGrid w:val="0"/>
        <w:ind w:left="619" w:hanging="619" w:hangingChars="295"/>
        <w:rPr>
          <w:rFonts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u w:val="single"/>
        </w:rPr>
        <w:t>Modifications</w:t>
      </w:r>
      <w:r>
        <w:rPr>
          <w:rFonts w:eastAsia="仿宋" w:cs="Times New Roman"/>
          <w:szCs w:val="21"/>
        </w:rPr>
        <w:t>.  Any amendments, supplements and/or alterations to the terms and conditions of this Contract shall only be made in written form and signed by the authorized representatives of the Parties.</w:t>
      </w:r>
    </w:p>
    <w:p>
      <w:pPr>
        <w:snapToGrid w:val="0"/>
        <w:ind w:left="630" w:leftChars="300" w:firstLine="77" w:firstLineChars="37"/>
        <w:rPr>
          <w:rFonts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pPr>
        <w:snapToGrid w:val="0"/>
        <w:ind w:left="619" w:hanging="619" w:hangingChars="295"/>
        <w:rPr>
          <w:rFonts w:eastAsia="仿宋" w:cs="Times New Roman"/>
          <w:szCs w:val="21"/>
        </w:rPr>
      </w:pPr>
      <w:bookmarkStart w:id="161" w:name="OLE_LINK16"/>
      <w:bookmarkStart w:id="162" w:name="OLE_LINK15"/>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u w:val="single"/>
        </w:rPr>
        <w:t>Notice</w:t>
      </w:r>
      <w:r>
        <w:rPr>
          <w:rFonts w:eastAsia="仿宋" w:cs="Times New Roman"/>
          <w:szCs w:val="21"/>
        </w:rPr>
        <w:t xml:space="preserve">. </w:t>
      </w:r>
      <w:bookmarkStart w:id="163"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163"/>
    </w:p>
    <w:p>
      <w:pPr>
        <w:snapToGrid w:val="0"/>
        <w:ind w:left="706" w:leftChars="336"/>
        <w:rPr>
          <w:rFonts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161"/>
    <w:bookmarkEnd w:id="162"/>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u w:val="single"/>
        </w:rPr>
        <w:t>No Assignment.</w:t>
      </w:r>
      <w:r>
        <w:rPr>
          <w:rFonts w:eastAsia="仿宋" w:cs="Times New Roman"/>
          <w:szCs w:val="21"/>
        </w:rPr>
        <w:t xml:space="preserve"> </w:t>
      </w:r>
      <w:bookmarkStart w:id="164" w:name="OLE_LINK8"/>
      <w:bookmarkStart w:id="165" w:name="OLE_LINK9"/>
      <w:r>
        <w:rPr>
          <w:rFonts w:eastAsia="仿宋" w:cs="Times New Roman"/>
          <w:szCs w:val="21"/>
        </w:rPr>
        <w:t>No Party may assign or transfer any of its rights or obligations under this Contract to any third parties without obtaining the prior written consent of the other Party</w:t>
      </w:r>
      <w:bookmarkEnd w:id="164"/>
      <w:bookmarkEnd w:id="165"/>
      <w:r>
        <w:rPr>
          <w:rFonts w:eastAsia="仿宋" w:cs="Times New Roman"/>
          <w:szCs w:val="21"/>
        </w:rPr>
        <w:t>.</w:t>
      </w:r>
    </w:p>
    <w:p>
      <w:pPr>
        <w:snapToGrid w:val="0"/>
        <w:ind w:left="708"/>
        <w:rPr>
          <w:rFonts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u w:val="single"/>
        </w:rPr>
        <w:t>Entire Agreement</w:t>
      </w:r>
      <w:r>
        <w:rPr>
          <w:rFonts w:eastAsia="仿宋" w:cs="Times New Roman"/>
          <w:szCs w:val="21"/>
        </w:rPr>
        <w:t xml:space="preserve">.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pPr>
        <w:ind w:left="630"/>
        <w:rPr>
          <w:rFonts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u w:val="single"/>
        </w:rPr>
        <w:t>Severability</w:t>
      </w:r>
      <w:r>
        <w:rPr>
          <w:rFonts w:eastAsia="仿宋" w:cs="Times New Roman"/>
          <w:szCs w:val="21"/>
        </w:rPr>
        <w:t>.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pPr>
        <w:ind w:left="630" w:leftChars="300"/>
        <w:rPr>
          <w:rFonts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pPr>
        <w:snapToGrid w:val="0"/>
        <w:ind w:left="619" w:hanging="619" w:hangingChars="295"/>
        <w:rPr>
          <w:rFonts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166" w:name="OLE_LINK14"/>
      <w:bookmarkStart w:id="167" w:name="OLE_LINK13"/>
      <w:r>
        <w:rPr>
          <w:rFonts w:eastAsia="仿宋" w:cs="Times New Roman"/>
          <w:szCs w:val="21"/>
          <w:u w:val="single"/>
        </w:rPr>
        <w:t>Remedies and Waivers</w:t>
      </w:r>
      <w:r>
        <w:rPr>
          <w:rFonts w:eastAsia="仿宋" w:cs="Times New Roman"/>
          <w:szCs w:val="21"/>
        </w:rPr>
        <w:t xml:space="preserve">.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166"/>
      <w:bookmarkEnd w:id="167"/>
    </w:p>
    <w:p>
      <w:pPr>
        <w:ind w:left="630" w:leftChars="300"/>
        <w:rPr>
          <w:rFonts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pPr>
        <w:snapToGrid w:val="0"/>
        <w:ind w:left="619" w:hanging="619" w:hangingChars="295"/>
        <w:rPr>
          <w:rFonts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168" w:name="OLE_LINK12"/>
      <w:bookmarkStart w:id="169" w:name="OLE_LINK11"/>
      <w:r>
        <w:rPr>
          <w:rFonts w:eastAsia="仿宋" w:cs="Times New Roman"/>
          <w:szCs w:val="21"/>
          <w:u w:val="single"/>
          <w:lang w:eastAsia="zh-TW"/>
        </w:rPr>
        <w:t>Non-exclusive Rights</w:t>
      </w:r>
      <w:r>
        <w:rPr>
          <w:rFonts w:eastAsia="仿宋" w:cs="Times New Roman"/>
          <w:szCs w:val="21"/>
          <w:lang w:eastAsia="zh-TW"/>
        </w:rPr>
        <w:t>.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168"/>
      <w:bookmarkEnd w:id="169"/>
    </w:p>
    <w:p>
      <w:pPr>
        <w:ind w:left="630" w:leftChars="300"/>
        <w:rPr>
          <w:rFonts w:eastAsia="仿宋" w:cs="Times New Roman"/>
          <w:szCs w:val="21"/>
        </w:rPr>
      </w:pPr>
      <w:r>
        <w:rPr>
          <w:rFonts w:eastAsia="仿宋" w:cs="Times New Roman"/>
          <w:szCs w:val="21"/>
        </w:rPr>
        <w:t>非专属权 :本合同规定的各项权利是累加的，并不排除相关地域法律规定的其它权利、权力或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pPr>
        <w:rPr>
          <w:rFonts w:eastAsia="仿宋" w:cs="Times New Roman"/>
          <w:szCs w:val="21"/>
          <w:u w:val="single"/>
        </w:rPr>
      </w:pPr>
      <w:r>
        <w:rPr>
          <w:rFonts w:eastAsia="仿宋" w:cs="Times New Roman"/>
          <w:szCs w:val="21"/>
        </w:rPr>
        <w:t>2</w:t>
      </w:r>
      <w:r>
        <w:rPr>
          <w:rFonts w:hint="eastAsia" w:eastAsia="仿宋" w:cs="Times New Roman"/>
          <w:szCs w:val="21"/>
        </w:rPr>
        <w:t>4</w:t>
      </w:r>
      <w:r>
        <w:rPr>
          <w:rFonts w:eastAsia="仿宋" w:cs="Times New Roman"/>
          <w:szCs w:val="21"/>
        </w:rPr>
        <w:t xml:space="preserve">.14  </w:t>
      </w:r>
      <w:r>
        <w:rPr>
          <w:rFonts w:eastAsia="仿宋" w:cs="Times New Roman"/>
          <w:szCs w:val="21"/>
          <w:u w:val="single"/>
        </w:rPr>
        <w:t>Exclusion of CISG</w:t>
      </w:r>
    </w:p>
    <w:p>
      <w:pPr>
        <w:ind w:firstLine="525" w:firstLineChars="250"/>
        <w:rPr>
          <w:rFonts w:eastAsia="仿宋" w:cs="Times New Roman"/>
          <w:i/>
          <w:iCs/>
          <w:szCs w:val="21"/>
        </w:rPr>
      </w:pPr>
      <w:r>
        <w:rPr>
          <w:rFonts w:hint="eastAsia" w:eastAsia="仿宋" w:cs="Times New Roman"/>
          <w:szCs w:val="21"/>
        </w:rPr>
        <w:t>《联合国国际货物销售合同公约》的排除适用。</w:t>
      </w:r>
      <w:r>
        <w:rPr>
          <w:rFonts w:hint="eastAsia" w:eastAsia="仿宋" w:cs="Times New Roman"/>
          <w:i/>
          <w:iCs/>
          <w:szCs w:val="21"/>
        </w:rPr>
        <w:t>【如果双方协商一致改变第20条约定，适用其他国家法律，则删除本条款】</w:t>
      </w:r>
    </w:p>
    <w:p>
      <w:pPr>
        <w:rPr>
          <w:rFonts w:eastAsia="仿宋" w:cs="Times New Roman"/>
          <w:szCs w:val="21"/>
        </w:rPr>
      </w:pPr>
    </w:p>
    <w:p>
      <w:pPr>
        <w:ind w:left="630" w:leftChars="300"/>
        <w:rPr>
          <w:rFonts w:eastAsia="仿宋" w:cs="Times New Roman"/>
          <w:szCs w:val="21"/>
        </w:rPr>
      </w:pPr>
      <w:r>
        <w:rPr>
          <w:rFonts w:eastAsia="仿宋" w:cs="Times New Roman"/>
          <w:szCs w:val="21"/>
        </w:rPr>
        <w:t>The terms of the United Nations Convention on Contracts for the International Sale of Goods do not apply to this Contract.</w:t>
      </w:r>
    </w:p>
    <w:p>
      <w:pPr>
        <w:ind w:left="630" w:leftChars="300"/>
        <w:rPr>
          <w:rFonts w:eastAsia="仿宋" w:cs="Times New Roman"/>
          <w:szCs w:val="21"/>
        </w:rPr>
      </w:pPr>
      <w:r>
        <w:rPr>
          <w:rFonts w:hint="eastAsia" w:eastAsia="仿宋" w:cs="Times New Roman"/>
          <w:szCs w:val="21"/>
        </w:rPr>
        <w:t>《联合国国际货物销售合同公约》的条款不适用于本合同。</w:t>
      </w:r>
    </w:p>
    <w:p>
      <w:pPr>
        <w:ind w:left="630" w:leftChars="300"/>
        <w:rPr>
          <w:rFonts w:eastAsia="仿宋" w:cs="Times New Roman"/>
          <w:b/>
          <w:szCs w:val="21"/>
        </w:rPr>
      </w:pPr>
    </w:p>
    <w:p>
      <w:pPr>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pPr>
        <w:rPr>
          <w:rFonts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pPr>
        <w:rPr>
          <w:rFonts w:eastAsia="仿宋" w:cs="Times New Roman"/>
          <w:szCs w:val="21"/>
        </w:rPr>
      </w:pPr>
      <w:r>
        <w:rPr>
          <w:rFonts w:eastAsia="仿宋" w:cs="Times New Roman"/>
          <w:szCs w:val="21"/>
        </w:rPr>
        <w:t>The following page is for signature. （以下为签字页）</w:t>
      </w:r>
    </w:p>
    <w:p>
      <w:pPr>
        <w:rPr>
          <w:rFonts w:eastAsia="仿宋" w:cs="Times New Roman"/>
          <w:szCs w:val="21"/>
        </w:rPr>
      </w:pPr>
      <w:r>
        <w:rPr>
          <w:rFonts w:eastAsia="仿宋" w:cs="Times New Roman"/>
          <w:szCs w:val="21"/>
        </w:rPr>
        <w:t>This page is only for signature.</w:t>
      </w:r>
    </w:p>
    <w:p>
      <w:pPr>
        <w:rPr>
          <w:rFonts w:eastAsia="仿宋" w:cs="Times New Roman"/>
          <w:szCs w:val="21"/>
        </w:rPr>
      </w:pPr>
      <w:r>
        <w:rPr>
          <w:rFonts w:eastAsia="仿宋" w:cs="Times New Roman"/>
          <w:szCs w:val="21"/>
        </w:rPr>
        <w:t>本页为签字页。</w:t>
      </w:r>
    </w:p>
    <w:p>
      <w:pPr>
        <w:rPr>
          <w:rFonts w:eastAsia="仿宋" w:cs="Times New Roman"/>
          <w:szCs w:val="21"/>
        </w:rPr>
      </w:pPr>
    </w:p>
    <w:p>
      <w:pPr>
        <w:rPr>
          <w:rFonts w:eastAsia="仿宋" w:cs="Times New Roman"/>
          <w:b/>
          <w:szCs w:val="21"/>
        </w:rPr>
      </w:pPr>
      <w:r>
        <w:rPr>
          <w:rFonts w:eastAsia="仿宋" w:cs="Times New Roman"/>
          <w:b/>
          <w:szCs w:val="21"/>
        </w:rPr>
        <w:t>The Buyer买方</w:t>
      </w:r>
    </w:p>
    <w:p>
      <w:pPr>
        <w:rPr>
          <w:rFonts w:eastAsia="仿宋" w:cs="Times New Roman"/>
          <w:b/>
          <w:szCs w:val="21"/>
        </w:rPr>
      </w:pPr>
      <w:r>
        <w:rPr>
          <w:rFonts w:eastAsia="仿宋" w:cs="Times New Roman"/>
          <w:b/>
          <w:szCs w:val="21"/>
          <w:lang w:eastAsia="zh-TW"/>
        </w:rPr>
        <w:t>SIGNED BY</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rPr>
          <w:rFonts w:eastAsia="仿宋" w:cs="Times New Roman"/>
          <w:b/>
          <w:szCs w:val="21"/>
          <w:lang w:eastAsia="zh-TW"/>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r>
        <w:rPr>
          <w:rFonts w:eastAsia="仿宋" w:cs="Times New Roman"/>
          <w:b/>
          <w:szCs w:val="21"/>
        </w:rPr>
        <w:t>The Seller卖方</w:t>
      </w:r>
    </w:p>
    <w:p>
      <w:pPr>
        <w:rPr>
          <w:rFonts w:eastAsia="仿宋" w:cs="Times New Roman"/>
          <w:b/>
          <w:szCs w:val="21"/>
        </w:rPr>
      </w:pPr>
      <w:r>
        <w:rPr>
          <w:rFonts w:eastAsia="仿宋" w:cs="Times New Roman"/>
          <w:b/>
          <w:szCs w:val="21"/>
          <w:lang w:eastAsia="zh-TW"/>
        </w:rPr>
        <w:t xml:space="preserve">SIGNED BY </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rPr>
          <w:rFonts w:eastAsia="仿宋" w:cs="Times New Roman"/>
          <w:b/>
          <w:szCs w:val="21"/>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r>
        <w:rPr>
          <w:rFonts w:eastAsia="仿宋" w:cs="Times New Roman"/>
          <w:b/>
          <w:szCs w:val="21"/>
        </w:rPr>
        <w:t>The Enduser最终用户</w:t>
      </w:r>
    </w:p>
    <w:p>
      <w:pPr>
        <w:rPr>
          <w:rFonts w:eastAsia="仿宋" w:cs="Times New Roman"/>
          <w:b/>
          <w:szCs w:val="21"/>
        </w:rPr>
      </w:pPr>
      <w:r>
        <w:rPr>
          <w:rFonts w:eastAsia="仿宋" w:cs="Times New Roman"/>
          <w:b/>
          <w:szCs w:val="21"/>
          <w:lang w:eastAsia="zh-TW"/>
        </w:rPr>
        <w:t>SIGNED BY</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p>
    <w:p>
      <w:pPr>
        <w:rPr>
          <w:rFonts w:eastAsia="仿宋" w:cs="Times New Roman"/>
          <w:b/>
          <w:szCs w:val="21"/>
          <w:lang w:eastAsia="zh-TW"/>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 w:val="21"/>
          <w:szCs w:val="21"/>
        </w:rPr>
      </w:pPr>
    </w:p>
    <w:p>
      <w:pPr>
        <w:rPr>
          <w:rFonts w:eastAsia="仿宋" w:cs="Times New Roman"/>
          <w:b/>
          <w:sz w:val="21"/>
          <w:szCs w:val="21"/>
        </w:rPr>
      </w:pPr>
    </w:p>
    <w:p>
      <w:pPr>
        <w:rPr>
          <w:sz w:val="24"/>
          <w:szCs w:val="24"/>
        </w:rPr>
      </w:pPr>
      <w:r>
        <w:rPr>
          <w:sz w:val="24"/>
          <w:szCs w:val="24"/>
        </w:rPr>
        <w:br w:type="page"/>
      </w:r>
    </w:p>
    <w:p>
      <w:pPr>
        <w:tabs>
          <w:tab w:val="right" w:leader="dot" w:pos="9061"/>
        </w:tabs>
        <w:outlineLvl w:val="9"/>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sectPr>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70"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70"/>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spacing w:line="42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说明：</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pPr>
        <w:keepNext/>
        <w:keepLines/>
        <w:outlineLvl w:val="9"/>
        <w:rPr>
          <w:rFonts w:hint="eastAsia" w:ascii="Times New Roman" w:hAnsi="Times New Roman" w:eastAsia="宋体" w:cs="Times New Roman"/>
          <w:b/>
          <w:bCs/>
          <w:color w:val="000000"/>
          <w:sz w:val="36"/>
          <w:szCs w:val="36"/>
        </w:rPr>
      </w:pPr>
    </w:p>
    <w:p>
      <w:pPr>
        <w:keepNext/>
        <w:keepLines/>
        <w:outlineLvl w:val="9"/>
        <w:rPr>
          <w:rFonts w:hint="eastAsia" w:ascii="Times New Roman" w:hAnsi="Times New Roman" w:eastAsia="宋体" w:cs="Times New Roman"/>
          <w:b/>
          <w:bCs/>
          <w:color w:val="000000"/>
          <w:sz w:val="36"/>
          <w:szCs w:val="36"/>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rPr>
          <w:rFonts w:hint="eastAsia" w:ascii="Times New Roman" w:hAnsi="Times New Roman" w:eastAsia="宋体" w:cs="Times New Roman"/>
          <w:b/>
          <w:bCs/>
          <w:color w:val="000000"/>
          <w:sz w:val="24"/>
          <w:szCs w:val="24"/>
        </w:rPr>
      </w:pPr>
    </w:p>
    <w:p>
      <w:pPr>
        <w:rPr>
          <w:rFonts w:hint="eastAsia"/>
        </w:rPr>
      </w:pPr>
    </w:p>
    <w:p>
      <w:pPr>
        <w:keepNext/>
        <w:keepLines/>
        <w:outlineLvl w:val="2"/>
        <w:rPr>
          <w:rFonts w:hint="eastAsia" w:ascii="Times New Roman" w:hAnsi="Times New Roman" w:eastAsia="宋体" w:cs="Times New Roman"/>
          <w:b/>
          <w:bCs/>
          <w:color w:val="000000"/>
          <w:sz w:val="24"/>
          <w:szCs w:val="24"/>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1" w:name="_Toc212369550"/>
      <w:bookmarkStart w:id="172" w:name="_Toc25811"/>
      <w:bookmarkStart w:id="173" w:name="_Toc353881012"/>
      <w:bookmarkStart w:id="174"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1"/>
      <w:bookmarkEnd w:id="172"/>
      <w:bookmarkEnd w:id="173"/>
      <w:bookmarkEnd w:id="174"/>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lang w:eastAsia="zh-CN"/>
        </w:rPr>
        <w:t>CGZX2023080184</w:t>
      </w:r>
      <w:r>
        <w:rPr>
          <w:rFonts w:hint="eastAsia" w:ascii="宋体" w:hAnsi="宋体" w:eastAsia="宋体" w:cs="Times New Roman"/>
          <w:color w:val="000000"/>
          <w:sz w:val="24"/>
          <w:szCs w:val="24"/>
        </w:rPr>
        <w:t>）现授权委托＿＿＿＿＿＿＿＿＿＿＿＿＿＿＿＿＿＿＿＿＿＿＿＿＿＿＿＿（单位名称）的＿＿＿＿＿＿＿＿（姓名、职务</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联系方式</w:t>
      </w:r>
      <w:r>
        <w:rPr>
          <w:rFonts w:hint="eastAsia" w:ascii="宋体" w:hAnsi="宋体" w:eastAsia="宋体" w:cs="Times New Roman"/>
          <w:color w:val="000000"/>
          <w:sz w:val="24"/>
          <w:szCs w:val="24"/>
        </w:rPr>
        <w:t>）为我公司全权代表，全权代表在投标文件、评标过程中的书面承诺、合同等所签署的一切文件和处理与之有关的一切事务，我均予以承认。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联系</w:t>
            </w:r>
            <w:r>
              <w:rPr>
                <w:rFonts w:hint="eastAsia"/>
                <w:color w:val="000000" w:themeColor="text1"/>
                <w:lang w:val="en-US" w:eastAsia="zh-CN"/>
                <w14:textFill>
                  <w14:solidFill>
                    <w14:schemeClr w14:val="tx1"/>
                  </w14:solidFill>
                </w14:textFill>
              </w:rPr>
              <w:t>方式</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lang w:val="en-US" w:eastAsia="zh-CN"/>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lang w:eastAsia="zh-CN"/>
        </w:rPr>
        <w:t>投标人</w:t>
      </w:r>
      <w:r>
        <w:rPr>
          <w:rFonts w:hint="eastAsia" w:ascii="宋体" w:hAnsi="宋体" w:eastAsia="宋体" w:cs="Times New Roman"/>
          <w:sz w:val="24"/>
          <w:szCs w:val="20"/>
          <w:highlight w:val="none"/>
          <w:u w:val="single"/>
        </w:rPr>
        <w:t>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pPr>
        <w:pStyle w:val="16"/>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238" w:type="dxa"/>
            <w:vAlign w:val="center"/>
          </w:tcPr>
          <w:p>
            <w:pPr>
              <w:pStyle w:val="124"/>
              <w:spacing w:before="60" w:after="60" w:line="240" w:lineRule="auto"/>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氨分析仪</w:t>
            </w:r>
          </w:p>
        </w:tc>
        <w:tc>
          <w:tcPr>
            <w:tcW w:w="2239" w:type="dxa"/>
          </w:tcPr>
          <w:p>
            <w:pPr>
              <w:rPr>
                <w:rFonts w:ascii="Arial"/>
              </w:rPr>
            </w:pPr>
          </w:p>
        </w:tc>
        <w:tc>
          <w:tcPr>
            <w:tcW w:w="1335"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1824" w:type="dxa"/>
            <w:vAlign w:val="center"/>
          </w:tcPr>
          <w:p>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238" w:type="dxa"/>
            <w:vAlign w:val="center"/>
          </w:tcPr>
          <w:p>
            <w:pPr>
              <w:pStyle w:val="124"/>
              <w:spacing w:before="60" w:after="60" w:line="240" w:lineRule="auto"/>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线性化检查器</w:t>
            </w:r>
          </w:p>
        </w:tc>
        <w:tc>
          <w:tcPr>
            <w:tcW w:w="2239" w:type="dxa"/>
          </w:tcPr>
          <w:p>
            <w:pPr>
              <w:rPr>
                <w:rFonts w:ascii="Arial"/>
              </w:rPr>
            </w:pPr>
          </w:p>
        </w:tc>
        <w:tc>
          <w:tcPr>
            <w:tcW w:w="1335"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824" w:type="dxa"/>
            <w:vAlign w:val="center"/>
          </w:tcPr>
          <w:p>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238" w:type="dxa"/>
            <w:vAlign w:val="bottom"/>
          </w:tcPr>
          <w:p>
            <w:pPr>
              <w:pStyle w:val="124"/>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前置过滤器</w:t>
            </w:r>
          </w:p>
        </w:tc>
        <w:tc>
          <w:tcPr>
            <w:tcW w:w="2239" w:type="dxa"/>
          </w:tcPr>
          <w:p>
            <w:pPr>
              <w:rPr>
                <w:rFonts w:ascii="Arial"/>
              </w:rPr>
            </w:pPr>
          </w:p>
        </w:tc>
        <w:tc>
          <w:tcPr>
            <w:tcW w:w="1335"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1824" w:type="dxa"/>
            <w:vAlign w:val="center"/>
          </w:tcPr>
          <w:p>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238" w:type="dxa"/>
            <w:vAlign w:val="bottom"/>
          </w:tcPr>
          <w:p>
            <w:pPr>
              <w:pStyle w:val="124"/>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采样热管</w:t>
            </w:r>
          </w:p>
        </w:tc>
        <w:tc>
          <w:tcPr>
            <w:tcW w:w="2239" w:type="dxa"/>
          </w:tcPr>
          <w:p>
            <w:pPr>
              <w:rPr>
                <w:rFonts w:ascii="Arial"/>
              </w:rPr>
            </w:pPr>
          </w:p>
        </w:tc>
        <w:tc>
          <w:tcPr>
            <w:tcW w:w="1335"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1824" w:type="dxa"/>
            <w:vAlign w:val="center"/>
          </w:tcPr>
          <w:p>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根</w:t>
            </w: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238" w:type="dxa"/>
            <w:vAlign w:val="bottom"/>
          </w:tcPr>
          <w:p>
            <w:pPr>
              <w:pStyle w:val="124"/>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采样探头</w:t>
            </w:r>
          </w:p>
        </w:tc>
        <w:tc>
          <w:tcPr>
            <w:tcW w:w="2239" w:type="dxa"/>
          </w:tcPr>
          <w:p>
            <w:pPr>
              <w:rPr>
                <w:rFonts w:ascii="Arial"/>
              </w:rPr>
            </w:pPr>
          </w:p>
        </w:tc>
        <w:tc>
          <w:tcPr>
            <w:tcW w:w="1335" w:type="dxa"/>
            <w:vAlign w:val="center"/>
          </w:tcPr>
          <w:p>
            <w:pPr>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6</w:t>
            </w:r>
          </w:p>
        </w:tc>
        <w:tc>
          <w:tcPr>
            <w:tcW w:w="1824" w:type="dxa"/>
            <w:vAlign w:val="center"/>
          </w:tcPr>
          <w:p>
            <w:pPr>
              <w:jc w:val="center"/>
              <w:textAlignment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根</w:t>
            </w: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2238" w:type="dxa"/>
            <w:vAlign w:val="center"/>
          </w:tcPr>
          <w:p>
            <w:pPr>
              <w:pStyle w:val="124"/>
              <w:spacing w:before="60" w:after="60" w:line="240" w:lineRule="auto"/>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设备主控单元及标定单元</w:t>
            </w:r>
          </w:p>
        </w:tc>
        <w:tc>
          <w:tcPr>
            <w:tcW w:w="2239" w:type="dxa"/>
          </w:tcPr>
          <w:p>
            <w:pPr>
              <w:rPr>
                <w:rFonts w:ascii="Arial"/>
              </w:rPr>
            </w:pPr>
          </w:p>
        </w:tc>
        <w:tc>
          <w:tcPr>
            <w:tcW w:w="1335" w:type="dxa"/>
            <w:vAlign w:val="center"/>
          </w:tcPr>
          <w:p>
            <w:pPr>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4</w:t>
            </w:r>
          </w:p>
        </w:tc>
        <w:tc>
          <w:tcPr>
            <w:tcW w:w="1824" w:type="dxa"/>
            <w:vAlign w:val="center"/>
          </w:tcPr>
          <w:p>
            <w:pPr>
              <w:jc w:val="center"/>
              <w:textAlignment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台</w:t>
            </w: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238" w:type="dxa"/>
            <w:vAlign w:val="center"/>
          </w:tcPr>
          <w:p>
            <w:pPr>
              <w:pStyle w:val="124"/>
              <w:spacing w:before="60" w:after="60" w:line="240" w:lineRule="auto"/>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设备用移动减震小车</w:t>
            </w:r>
          </w:p>
        </w:tc>
        <w:tc>
          <w:tcPr>
            <w:tcW w:w="2239" w:type="dxa"/>
          </w:tcPr>
          <w:p>
            <w:pPr>
              <w:rPr>
                <w:rFonts w:ascii="Arial"/>
              </w:rPr>
            </w:pPr>
          </w:p>
        </w:tc>
        <w:tc>
          <w:tcPr>
            <w:tcW w:w="1335"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1824" w:type="dxa"/>
            <w:vAlign w:val="center"/>
          </w:tcPr>
          <w:p>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2238" w:type="dxa"/>
            <w:vAlign w:val="bottom"/>
          </w:tcPr>
          <w:p>
            <w:pPr>
              <w:pStyle w:val="124"/>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气瓶小车</w:t>
            </w:r>
          </w:p>
        </w:tc>
        <w:tc>
          <w:tcPr>
            <w:tcW w:w="2239" w:type="dxa"/>
          </w:tcPr>
          <w:p>
            <w:pPr>
              <w:rPr>
                <w:rFonts w:ascii="Arial"/>
              </w:rPr>
            </w:pPr>
          </w:p>
        </w:tc>
        <w:tc>
          <w:tcPr>
            <w:tcW w:w="1335"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1824" w:type="dxa"/>
            <w:vAlign w:val="center"/>
          </w:tcPr>
          <w:p>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2020年1月1日</w:t>
      </w:r>
      <w:r>
        <w:rPr>
          <w:rFonts w:hint="eastAsia" w:ascii="Times New Roman" w:hAnsi="Times New Roman" w:eastAsia="宋体" w:cs="Times New Roman"/>
          <w:b/>
          <w:bCs/>
          <w:color w:val="000000"/>
          <w:sz w:val="24"/>
          <w:szCs w:val="24"/>
          <w:lang w:val="en-US" w:eastAsia="zh-CN"/>
        </w:rPr>
        <w:t>以来</w:t>
      </w:r>
      <w:r>
        <w:rPr>
          <w:rFonts w:hint="eastAsia" w:ascii="Times New Roman" w:hAnsi="Times New Roman" w:eastAsia="宋体" w:cs="Times New Roman"/>
          <w:b/>
          <w:bCs/>
          <w:color w:val="000000"/>
          <w:sz w:val="24"/>
          <w:szCs w:val="24"/>
        </w:rPr>
        <w:t>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none"/>
                <w:lang w:eastAsia="zh-CN"/>
              </w:rPr>
              <w:t>2020年1月1日</w:t>
            </w:r>
            <w:r>
              <w:rPr>
                <w:rFonts w:ascii="宋体" w:hAnsi="宋体" w:eastAsia="宋体" w:cs="宋体"/>
                <w:sz w:val="24"/>
                <w:szCs w:val="24"/>
                <w:highlight w:val="none"/>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pgNumType w:fmt="decimal"/>
          <w:cols w:space="720" w:num="1"/>
          <w:titlePg/>
          <w:docGrid w:type="lines" w:linePitch="312" w:charSpace="0"/>
        </w:sectPr>
      </w:pPr>
    </w:p>
    <w:p>
      <w:pPr>
        <w:keepNext/>
        <w:keepLines/>
        <w:outlineLvl w:val="1"/>
        <w:rPr>
          <w:rFonts w:ascii="Times New Roman" w:hAnsi="Times New Roman" w:eastAsia="宋体" w:cs="Times New Roman"/>
          <w:b/>
          <w:bCs/>
          <w:color w:val="000000"/>
          <w:sz w:val="24"/>
          <w:szCs w:val="24"/>
        </w:rPr>
      </w:pPr>
      <w:bookmarkStart w:id="175" w:name="_Toc29283"/>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bookmarkEnd w:id="175"/>
    </w:p>
    <w:p>
      <w:pPr>
        <w:spacing w:line="360" w:lineRule="auto"/>
        <w:ind w:firstLine="482" w:firstLineChars="200"/>
        <w:rPr>
          <w:rFonts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《开标一览表》</w:t>
      </w:r>
      <w:r>
        <w:rPr>
          <w:rFonts w:hint="eastAsia" w:ascii="宋体" w:hAnsi="宋体" w:eastAsia="宋体" w:cs="Times New Roman"/>
          <w:b/>
          <w:color w:val="000000"/>
          <w:sz w:val="24"/>
          <w:szCs w:val="24"/>
          <w:highlight w:val="yellow"/>
          <w:lang w:eastAsia="zh-CN"/>
        </w:rPr>
        <w:t>需在商务标书之外</w:t>
      </w:r>
      <w:r>
        <w:rPr>
          <w:rFonts w:hint="eastAsia" w:ascii="宋体" w:hAnsi="宋体" w:eastAsia="宋体" w:cs="Times New Roman"/>
          <w:b/>
          <w:color w:val="000000"/>
          <w:sz w:val="24"/>
          <w:szCs w:val="24"/>
          <w:highlight w:val="yellow"/>
        </w:rPr>
        <w:t>单独封存</w:t>
      </w:r>
      <w:r>
        <w:rPr>
          <w:rFonts w:hint="eastAsia" w:ascii="宋体" w:hAnsi="宋体" w:eastAsia="宋体" w:cs="Times New Roman"/>
          <w:b/>
          <w:color w:val="000000"/>
          <w:sz w:val="24"/>
          <w:szCs w:val="24"/>
          <w:highlight w:val="yellow"/>
          <w:lang w:eastAsia="zh-CN"/>
        </w:rPr>
        <w:t>一份</w:t>
      </w:r>
      <w:r>
        <w:rPr>
          <w:rFonts w:hint="eastAsia" w:ascii="宋体" w:hAnsi="宋体" w:eastAsia="宋体" w:cs="Times New Roman"/>
          <w:b/>
          <w:color w:val="000000"/>
          <w:sz w:val="24"/>
          <w:szCs w:val="24"/>
          <w:highlight w:val="yellow"/>
        </w:rPr>
        <w:t>，以备唱标使用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氨分析仪</w:t>
      </w:r>
      <w:r>
        <w:rPr>
          <w:rFonts w:hint="eastAsia" w:ascii="宋体" w:hAnsi="宋体" w:eastAsia="宋体" w:cs="Times New Roman"/>
          <w:color w:val="000000"/>
          <w:sz w:val="24"/>
          <w:szCs w:val="24"/>
        </w:rPr>
        <w:t>项目</w:t>
      </w:r>
      <w:r>
        <w:rPr>
          <w:rFonts w:ascii="宋体" w:hAnsi="宋体" w:eastAsia="宋体" w:cs="Times New Roman"/>
          <w:color w:val="000000"/>
          <w:sz w:val="24"/>
          <w:szCs w:val="24"/>
        </w:rPr>
        <w:t xml:space="preserve">                                                        </w:t>
      </w:r>
    </w:p>
    <w:tbl>
      <w:tblPr>
        <w:tblStyle w:val="35"/>
        <w:tblW w:w="13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1024"/>
        <w:gridCol w:w="2096"/>
        <w:gridCol w:w="2204"/>
        <w:gridCol w:w="1844"/>
        <w:gridCol w:w="973"/>
        <w:gridCol w:w="1277"/>
        <w:gridCol w:w="1194"/>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1" w:hRule="atLeast"/>
          <w:jc w:val="center"/>
        </w:trPr>
        <w:tc>
          <w:tcPr>
            <w:tcW w:w="3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02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9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投标总价（进口货物报价+国内货物报价）（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220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进口货物报价</w:t>
            </w:r>
          </w:p>
        </w:tc>
        <w:tc>
          <w:tcPr>
            <w:tcW w:w="184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国内货物报价</w:t>
            </w:r>
          </w:p>
        </w:tc>
        <w:tc>
          <w:tcPr>
            <w:tcW w:w="97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9" w:hRule="atLeast"/>
          <w:jc w:val="center"/>
        </w:trPr>
        <w:tc>
          <w:tcPr>
            <w:tcW w:w="399" w:type="dxa"/>
            <w:vAlign w:val="center"/>
          </w:tcPr>
          <w:p>
            <w:pPr>
              <w:jc w:val="center"/>
              <w:rPr>
                <w:rFonts w:ascii="Times New Roman" w:hAnsi="Times New Roman" w:eastAsia="宋体" w:cs="Times New Roman"/>
                <w:b w:val="0"/>
                <w:bCs/>
                <w:szCs w:val="20"/>
              </w:rPr>
            </w:pPr>
            <w:r>
              <w:rPr>
                <w:rFonts w:ascii="Times New Roman" w:hAnsi="Times New Roman" w:eastAsia="宋体" w:cs="Times New Roman"/>
                <w:b w:val="0"/>
                <w:bCs/>
                <w:szCs w:val="20"/>
              </w:rPr>
              <w:t>1</w:t>
            </w:r>
          </w:p>
        </w:tc>
        <w:tc>
          <w:tcPr>
            <w:tcW w:w="1259" w:type="dxa"/>
            <w:vAlign w:val="center"/>
          </w:tcPr>
          <w:p>
            <w:pPr>
              <w:jc w:val="center"/>
              <w:rPr>
                <w:rFonts w:ascii="Times New Roman" w:hAnsi="Times New Roman" w:eastAsia="宋体" w:cs="Times New Roman"/>
                <w:b w:val="0"/>
                <w:bCs/>
                <w:szCs w:val="20"/>
              </w:rPr>
            </w:pPr>
            <w:r>
              <w:rPr>
                <w:rFonts w:hint="eastAsia" w:ascii="宋体" w:hAnsi="宋体" w:eastAsia="宋体" w:cs="Times New Roman"/>
                <w:b w:val="0"/>
                <w:bCs/>
                <w:color w:val="000000"/>
                <w:sz w:val="24"/>
                <w:szCs w:val="24"/>
                <w:lang w:val="en-US" w:eastAsia="zh-CN"/>
              </w:rPr>
              <w:t>氨分析仪</w:t>
            </w:r>
            <w:r>
              <w:rPr>
                <w:rFonts w:ascii="宋体" w:hAnsi="宋体" w:eastAsia="宋体" w:cs="Times New Roman"/>
                <w:b w:val="0"/>
                <w:bCs/>
                <w:color w:val="000000"/>
                <w:sz w:val="24"/>
                <w:szCs w:val="24"/>
              </w:rPr>
              <w:t xml:space="preserve"> </w:t>
            </w:r>
          </w:p>
        </w:tc>
        <w:tc>
          <w:tcPr>
            <w:tcW w:w="1024" w:type="dxa"/>
            <w:vAlign w:val="center"/>
          </w:tcPr>
          <w:p>
            <w:pPr>
              <w:jc w:val="center"/>
              <w:rPr>
                <w:rFonts w:ascii="Times New Roman" w:hAnsi="Times New Roman" w:eastAsia="宋体" w:cs="Times New Roman"/>
                <w:b w:val="0"/>
                <w:bCs/>
                <w:szCs w:val="20"/>
              </w:rPr>
            </w:pPr>
            <w:r>
              <w:rPr>
                <w:rFonts w:hint="eastAsia" w:ascii="Times New Roman" w:hAnsi="Times New Roman" w:eastAsia="宋体" w:cs="Times New Roman"/>
                <w:b w:val="0"/>
                <w:bCs/>
                <w:szCs w:val="20"/>
                <w:lang w:val="en-US" w:eastAsia="zh-CN"/>
              </w:rPr>
              <w:t>3</w:t>
            </w:r>
            <w:r>
              <w:rPr>
                <w:rFonts w:hint="eastAsia" w:ascii="Times New Roman" w:hAnsi="Times New Roman" w:eastAsia="宋体" w:cs="Times New Roman"/>
                <w:b w:val="0"/>
                <w:bCs/>
                <w:szCs w:val="20"/>
              </w:rPr>
              <w:t>套</w:t>
            </w:r>
          </w:p>
        </w:tc>
        <w:tc>
          <w:tcPr>
            <w:tcW w:w="2096" w:type="dxa"/>
            <w:vAlign w:val="center"/>
          </w:tcPr>
          <w:p>
            <w:pPr>
              <w:jc w:val="center"/>
              <w:rPr>
                <w:rFonts w:ascii="Times New Roman" w:hAnsi="Times New Roman" w:eastAsia="宋体" w:cs="Times New Roman"/>
                <w:b w:val="0"/>
                <w:bCs/>
                <w:szCs w:val="20"/>
              </w:rPr>
            </w:pPr>
            <w:r>
              <w:rPr>
                <w:rFonts w:hint="eastAsia" w:ascii="宋体" w:hAnsi="宋体" w:eastAsia="宋体" w:cs="宋体"/>
                <w:b/>
                <w:bCs w:val="0"/>
                <w:szCs w:val="20"/>
                <w:lang w:val="en-US" w:eastAsia="zh-CN"/>
              </w:rPr>
              <w:t>总价：</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元（大写：</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w:t>
            </w: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val="0"/>
                <w:lang w:eastAsia="zh-CN"/>
              </w:rPr>
            </w:pPr>
            <w:r>
              <w:rPr>
                <w:rFonts w:hint="eastAsia" w:ascii="宋体" w:hAnsi="宋体" w:eastAsia="宋体" w:cs="宋体"/>
                <w:b/>
                <w:bCs w:val="0"/>
              </w:rPr>
              <w:t>实际支付币种及金额</w:t>
            </w:r>
            <w:r>
              <w:rPr>
                <w:rFonts w:hint="eastAsia" w:ascii="宋体" w:hAnsi="宋体" w:eastAsia="宋体" w:cs="宋体"/>
                <w:b/>
                <w:bCs w:val="0"/>
                <w:lang w:eastAsia="zh-CN"/>
              </w:rPr>
              <w:t>：</w:t>
            </w:r>
          </w:p>
          <w:p>
            <w:pPr>
              <w:pStyle w:val="2"/>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汇率：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lang w:eastAsia="zh-CN"/>
              </w:rPr>
            </w:pPr>
            <w:r>
              <w:rPr>
                <w:rFonts w:hint="eastAsia" w:ascii="宋体" w:hAnsi="宋体" w:eastAsia="宋体" w:cs="宋体"/>
                <w:b/>
                <w:bCs w:val="0"/>
              </w:rPr>
              <w:t>折算人民币：</w:t>
            </w:r>
          </w:p>
        </w:tc>
        <w:tc>
          <w:tcPr>
            <w:tcW w:w="1844" w:type="dxa"/>
            <w:vAlign w:val="center"/>
          </w:tcPr>
          <w:p>
            <w:pPr>
              <w:jc w:val="left"/>
              <w:rPr>
                <w:rFonts w:hint="eastAsia" w:ascii="等线" w:hAnsi="等线" w:eastAsia="等线" w:cs="Times New Roman"/>
                <w:b/>
                <w:bCs w:val="0"/>
                <w:szCs w:val="20"/>
              </w:rPr>
            </w:pPr>
            <w:r>
              <w:rPr>
                <w:rFonts w:hint="eastAsia" w:ascii="等线" w:hAnsi="等线" w:eastAsia="等线" w:cs="Times New Roman"/>
                <w:b/>
                <w:bCs w:val="0"/>
                <w:szCs w:val="20"/>
              </w:rPr>
              <w:t>含税价格：</w:t>
            </w:r>
          </w:p>
          <w:p>
            <w:pPr>
              <w:jc w:val="left"/>
            </w:pPr>
            <w:r>
              <w:rPr>
                <w:rFonts w:hint="eastAsia" w:ascii="等线" w:hAnsi="等线" w:eastAsia="等线" w:cs="Times New Roman"/>
                <w:b w:val="0"/>
                <w:bCs/>
                <w:szCs w:val="20"/>
              </w:rPr>
              <w:t>不含税价：</w:t>
            </w:r>
          </w:p>
          <w:p>
            <w:pPr>
              <w:jc w:val="left"/>
              <w:rPr>
                <w:rFonts w:ascii="Times New Roman" w:hAnsi="Times New Roman" w:eastAsia="宋体" w:cs="Times New Roman"/>
                <w:b w:val="0"/>
                <w:bCs/>
                <w:szCs w:val="20"/>
              </w:rPr>
            </w:pPr>
            <w:r>
              <w:rPr>
                <w:rFonts w:hint="eastAsia" w:ascii="等线" w:hAnsi="等线" w:eastAsia="等线" w:cs="Times New Roman"/>
                <w:b w:val="0"/>
                <w:bCs/>
                <w:szCs w:val="20"/>
              </w:rPr>
              <w:t>税率：</w:t>
            </w:r>
          </w:p>
        </w:tc>
        <w:tc>
          <w:tcPr>
            <w:tcW w:w="973" w:type="dxa"/>
            <w:vAlign w:val="center"/>
          </w:tcPr>
          <w:p>
            <w:pPr>
              <w:jc w:val="center"/>
              <w:rPr>
                <w:rFonts w:ascii="Times New Roman" w:hAnsi="Times New Roman" w:eastAsia="宋体" w:cs="Times New Roman"/>
                <w:b/>
                <w:szCs w:val="20"/>
              </w:rPr>
            </w:pPr>
          </w:p>
        </w:tc>
        <w:tc>
          <w:tcPr>
            <w:tcW w:w="1277" w:type="dxa"/>
            <w:vAlign w:val="center"/>
          </w:tcPr>
          <w:p>
            <w:pPr>
              <w:jc w:val="center"/>
              <w:rPr>
                <w:rFonts w:ascii="Times New Roman" w:hAnsi="Times New Roman" w:eastAsia="宋体" w:cs="Times New Roman"/>
                <w:b/>
                <w:szCs w:val="20"/>
              </w:rPr>
            </w:pPr>
          </w:p>
        </w:tc>
        <w:tc>
          <w:tcPr>
            <w:tcW w:w="1194" w:type="dxa"/>
            <w:vAlign w:val="center"/>
          </w:tcPr>
          <w:p>
            <w:pPr>
              <w:jc w:val="center"/>
              <w:rPr>
                <w:rFonts w:ascii="Times New Roman" w:hAnsi="Times New Roman" w:eastAsia="宋体" w:cs="Times New Roman"/>
                <w:b/>
                <w:szCs w:val="20"/>
              </w:rPr>
            </w:pPr>
          </w:p>
        </w:tc>
        <w:tc>
          <w:tcPr>
            <w:tcW w:w="1146"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lang w:eastAsia="zh-CN"/>
        </w:rPr>
      </w:pPr>
      <w:r>
        <w:rPr>
          <w:rFonts w:hint="eastAsia" w:ascii="宋体" w:hAnsi="宋体" w:eastAsia="宋体" w:cs="宋体"/>
          <w:b/>
          <w:szCs w:val="20"/>
        </w:rPr>
        <w:t>3.需写明含税价、不含税价格、税率。</w:t>
      </w:r>
    </w:p>
    <w:p>
      <w:pPr>
        <w:pStyle w:val="16"/>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pPr>
        <w:pStyle w:val="16"/>
        <w:rPr>
          <w:rFonts w:hAnsi="宋体" w:eastAsia="宋体" w:cs="Times New Roman"/>
          <w:b/>
          <w:bCs/>
          <w:szCs w:val="21"/>
          <w:highlight w:val="yellow"/>
        </w:rPr>
      </w:pPr>
      <w:r>
        <w:rPr>
          <w:rFonts w:hint="eastAsia" w:hAnsi="宋体" w:eastAsia="宋体" w:cs="Times New Roman"/>
          <w:b/>
          <w:bCs/>
          <w:szCs w:val="21"/>
          <w:highlight w:val="yellow"/>
        </w:rPr>
        <w:t>5.进口货物报价需按发标日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2023年</w:t>
      </w:r>
      <w:r>
        <w:rPr>
          <w:rFonts w:hint="eastAsia" w:hAnsi="宋体" w:eastAsia="宋体" w:cs="Times New Roman"/>
          <w:b/>
          <w:bCs/>
          <w:sz w:val="24"/>
          <w:szCs w:val="24"/>
          <w:highlight w:val="yellow"/>
          <w:lang w:val="en-US" w:eastAsia="zh-CN"/>
        </w:rPr>
        <w:t>8</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21</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中国人民银行公示的汇率中间价折算成人民币，并注明实际支付币种及金额。</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bookmarkStart w:id="176" w:name="_GoBack"/>
      <w:bookmarkEnd w:id="176"/>
    </w:p>
    <w:p>
      <w:pPr>
        <w:spacing w:line="660" w:lineRule="exact"/>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16"/>
        <w:sectPr>
          <w:pgSz w:w="16838" w:h="11906" w:orient="landscape"/>
          <w:pgMar w:top="1418" w:right="1588" w:bottom="1418" w:left="1134" w:header="851" w:footer="992" w:gutter="0"/>
          <w:pgNumType w:fmt="decimal"/>
          <w:cols w:space="720" w:num="1"/>
          <w:titlePg/>
          <w:docGrid w:type="lines" w:linePitch="312" w:charSpace="0"/>
        </w:sectPr>
      </w:pPr>
    </w:p>
    <w:p>
      <w:pPr>
        <w:rPr>
          <w:rFonts w:hint="eastAsia" w:ascii="宋体" w:hAnsi="宋体" w:cs="宋体"/>
          <w:color w:val="000000"/>
          <w:sz w:val="24"/>
          <w:szCs w:val="24"/>
        </w:rPr>
      </w:pPr>
    </w:p>
    <w:p>
      <w:pPr>
        <w:pStyle w:val="4"/>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spacing w:before="140" w:after="140" w:line="240" w:lineRule="auto"/>
        <w:jc w:val="left"/>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u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c>
          <w:tcPr>
            <w:tcW w:w="22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7</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货物名称</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型号和规格</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数量</w:t>
            </w:r>
          </w:p>
        </w:tc>
        <w:tc>
          <w:tcPr>
            <w:tcW w:w="22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原产地和制造商名称</w:t>
            </w:r>
          </w:p>
        </w:tc>
        <w:tc>
          <w:tcPr>
            <w:tcW w:w="2280"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792" w:type="dxa"/>
            <w:vAlign w:val="center"/>
          </w:tcPr>
          <w:p>
            <w:pPr>
              <w:pStyle w:val="124"/>
              <w:spacing w:before="60" w:after="60" w:line="240" w:lineRule="auto"/>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氨分析仪</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792" w:type="dxa"/>
            <w:vAlign w:val="center"/>
          </w:tcPr>
          <w:p>
            <w:pPr>
              <w:pStyle w:val="124"/>
              <w:spacing w:before="60" w:after="60" w:line="240" w:lineRule="auto"/>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线性化检查器</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792" w:type="dxa"/>
            <w:vAlign w:val="bottom"/>
          </w:tcPr>
          <w:p>
            <w:pPr>
              <w:pStyle w:val="124"/>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前置过滤器</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792" w:type="dxa"/>
            <w:vAlign w:val="bottom"/>
          </w:tcPr>
          <w:p>
            <w:pPr>
              <w:pStyle w:val="124"/>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采样热管</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792" w:type="dxa"/>
            <w:vAlign w:val="bottom"/>
          </w:tcPr>
          <w:p>
            <w:pPr>
              <w:pStyle w:val="124"/>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采样探头</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792" w:type="dxa"/>
            <w:vAlign w:val="center"/>
          </w:tcPr>
          <w:p>
            <w:pPr>
              <w:pStyle w:val="124"/>
              <w:spacing w:before="60" w:after="60" w:line="240" w:lineRule="auto"/>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设备主控单元及标定单元</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4</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792" w:type="dxa"/>
            <w:vAlign w:val="center"/>
          </w:tcPr>
          <w:p>
            <w:pPr>
              <w:pStyle w:val="124"/>
              <w:spacing w:before="60" w:after="60" w:line="240" w:lineRule="auto"/>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设备用移动减震小车</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2792" w:type="dxa"/>
            <w:vAlign w:val="bottom"/>
          </w:tcPr>
          <w:p>
            <w:pPr>
              <w:pStyle w:val="124"/>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气瓶小车</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9</w:t>
            </w:r>
          </w:p>
        </w:tc>
        <w:tc>
          <w:tcPr>
            <w:tcW w:w="2792" w:type="dxa"/>
            <w:vAlign w:val="top"/>
          </w:tcPr>
          <w:p>
            <w:pPr>
              <w:jc w:val="both"/>
              <w:rPr>
                <w:rFonts w:hint="eastAsia" w:ascii="宋体" w:hAnsi="宋体" w:eastAsia="宋体" w:cs="宋体"/>
                <w:sz w:val="21"/>
                <w:highlight w:val="none"/>
                <w:lang w:val="en-US" w:eastAsia="zh-CN"/>
              </w:rPr>
            </w:pPr>
            <w:r>
              <w:rPr>
                <w:rFonts w:hint="eastAsia" w:ascii="宋体" w:hAnsi="宋体" w:eastAsia="宋体" w:cs="宋体"/>
                <w:highlight w:val="none"/>
              </w:rPr>
              <w:t>...以上投标设备不足之处请往下添加序号自行补充</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top"/>
          </w:tcPr>
          <w:p>
            <w:pPr>
              <w:jc w:val="center"/>
              <w:rPr>
                <w:rFonts w:hint="eastAsia" w:ascii="Arial"/>
                <w:sz w:val="21"/>
                <w:lang w:val="en-US" w:eastAsia="zh-CN"/>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9"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2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  量</w:t>
            </w:r>
          </w:p>
        </w:tc>
        <w:tc>
          <w:tcPr>
            <w:tcW w:w="218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25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21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p>
        </w:tc>
        <w:tc>
          <w:tcPr>
            <w:tcW w:w="353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p>
        </w:tc>
        <w:tc>
          <w:tcPr>
            <w:tcW w:w="2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18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25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 (1×2)</w:t>
            </w:r>
          </w:p>
        </w:tc>
        <w:tc>
          <w:tcPr>
            <w:tcW w:w="21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center"/>
          </w:tcPr>
          <w:p>
            <w:pPr>
              <w:spacing w:before="248" w:line="36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w:t>
            </w:r>
          </w:p>
        </w:tc>
        <w:tc>
          <w:tcPr>
            <w:tcW w:w="3530" w:type="dxa"/>
            <w:vAlign w:val="center"/>
          </w:tcPr>
          <w:p>
            <w:pPr>
              <w:spacing w:before="248" w:line="360"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以上不足之处请往下添加序号自行补充</w:t>
            </w:r>
          </w:p>
        </w:tc>
        <w:tc>
          <w:tcPr>
            <w:tcW w:w="2159" w:type="dxa"/>
          </w:tcPr>
          <w:p>
            <w:pPr>
              <w:spacing w:line="360" w:lineRule="auto"/>
              <w:rPr>
                <w:rFonts w:ascii="Arial"/>
              </w:rPr>
            </w:pPr>
          </w:p>
        </w:tc>
        <w:tc>
          <w:tcPr>
            <w:tcW w:w="2186" w:type="dxa"/>
          </w:tcPr>
          <w:p>
            <w:pPr>
              <w:spacing w:line="360" w:lineRule="auto"/>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0" w:type="default"/>
          <w:pgSz w:w="16841" w:h="11907"/>
          <w:pgMar w:top="400" w:right="1699" w:bottom="1184" w:left="1481" w:header="0" w:footer="1022" w:gutter="0"/>
          <w:pgNumType w:fmt="decimal"/>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单位</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数量</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Cs w:val="21"/>
              </w:rPr>
              <w:t>1</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现场安装调试</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r>
              <w:rPr>
                <w:rFonts w:hint="eastAsia" w:ascii="宋体" w:hAnsi="宋体" w:eastAsia="宋体" w:cs="宋体"/>
                <w:spacing w:val="-1"/>
                <w:sz w:val="21"/>
                <w:szCs w:val="21"/>
                <w:highlight w:val="none"/>
                <w:lang w:val="en-US" w:eastAsia="zh-CN"/>
              </w:rPr>
              <w:t>人▪</w:t>
            </w:r>
            <w:r>
              <w:rPr>
                <w:rFonts w:hint="eastAsia" w:ascii="宋体" w:hAnsi="宋体" w:eastAsia="宋体" w:cs="宋体"/>
                <w:spacing w:val="-1"/>
                <w:sz w:val="21"/>
                <w:szCs w:val="21"/>
                <w:highlight w:val="none"/>
              </w:rPr>
              <w:t>天</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rPr>
            </w:pPr>
          </w:p>
        </w:tc>
        <w:tc>
          <w:tcPr>
            <w:tcW w:w="366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技术培训</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highlight w:val="none"/>
                <w:lang w:val="en-US" w:eastAsia="zh-CN"/>
              </w:rPr>
            </w:pPr>
            <w:r>
              <w:rPr>
                <w:rFonts w:hint="eastAsia" w:ascii="宋体" w:hAnsi="宋体" w:eastAsia="宋体" w:cs="宋体"/>
                <w:spacing w:val="-1"/>
                <w:sz w:val="21"/>
                <w:szCs w:val="21"/>
                <w:highlight w:val="none"/>
                <w:lang w:val="en-US" w:eastAsia="zh-CN"/>
              </w:rPr>
              <w:t>人▪</w:t>
            </w:r>
            <w:r>
              <w:rPr>
                <w:rFonts w:hint="eastAsia" w:ascii="宋体" w:hAnsi="宋体" w:eastAsia="宋体" w:cs="宋体"/>
                <w:spacing w:val="-1"/>
                <w:sz w:val="21"/>
                <w:szCs w:val="21"/>
                <w:highlight w:val="none"/>
              </w:rPr>
              <w:t>天</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rPr>
            </w:pPr>
          </w:p>
        </w:tc>
        <w:tc>
          <w:tcPr>
            <w:tcW w:w="366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5"/>
                <w:szCs w:val="21"/>
              </w:rPr>
            </w:pPr>
            <w:r>
              <w:rPr>
                <w:rFonts w:hint="eastAsia" w:ascii="宋体" w:hAnsi="宋体" w:eastAsia="宋体" w:cs="宋体"/>
                <w:spacing w:val="-1"/>
                <w:szCs w:val="21"/>
                <w:lang w:val="en-US" w:eastAsia="zh-CN"/>
              </w:rPr>
              <w:t>以上</w:t>
            </w:r>
            <w:r>
              <w:rPr>
                <w:rFonts w:hint="eastAsia" w:ascii="宋体" w:hAnsi="宋体" w:eastAsia="宋体" w:cs="宋体"/>
                <w:spacing w:val="-1"/>
                <w:szCs w:val="21"/>
              </w:rPr>
              <w:t>不足之处请往下添加序号自行补充</w:t>
            </w:r>
          </w:p>
        </w:tc>
        <w:tc>
          <w:tcPr>
            <w:tcW w:w="12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rPr>
            </w:pPr>
          </w:p>
        </w:tc>
        <w:tc>
          <w:tcPr>
            <w:tcW w:w="125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rPr>
            </w:pPr>
          </w:p>
        </w:tc>
        <w:tc>
          <w:tcPr>
            <w:tcW w:w="269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tc>
        <w:tc>
          <w:tcPr>
            <w:tcW w:w="366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pgNumType w:fmt="decimal"/>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5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5</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6</w:t>
            </w:r>
          </w:p>
        </w:tc>
        <w:tc>
          <w:tcPr>
            <w:tcW w:w="18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7</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8</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 号</w:t>
            </w:r>
          </w:p>
        </w:tc>
        <w:tc>
          <w:tcPr>
            <w:tcW w:w="25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备件或工具名称</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型号和规格</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数量</w:t>
            </w:r>
          </w:p>
        </w:tc>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原产地和</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制造商名称</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8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更换</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周期</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w:t>
            </w:r>
          </w:p>
        </w:tc>
        <w:tc>
          <w:tcPr>
            <w:tcW w:w="2543" w:type="dxa"/>
            <w:vAlign w:val="center"/>
          </w:tcPr>
          <w:p>
            <w:pPr>
              <w:pStyle w:val="124"/>
              <w:spacing w:before="78" w:after="78" w:line="240" w:lineRule="auto"/>
              <w:jc w:val="center"/>
              <w:rPr>
                <w:rFonts w:hint="eastAsia" w:ascii="宋体" w:hAnsi="宋体" w:eastAsia="宋体" w:cs="宋体"/>
                <w:b w:val="0"/>
                <w:bCs w:val="0"/>
                <w:kern w:val="2"/>
                <w:sz w:val="21"/>
                <w:szCs w:val="21"/>
                <w:highlight w:val="blue"/>
                <w:lang w:val="en-US" w:eastAsia="zh-CN" w:bidi="ar-SA"/>
              </w:rPr>
            </w:pPr>
            <w:r>
              <w:rPr>
                <w:rFonts w:hint="eastAsia" w:ascii="宋体" w:hAnsi="宋体" w:eastAsia="宋体" w:cs="宋体"/>
                <w:sz w:val="24"/>
              </w:rPr>
              <w:t>备品备件(含支撑600个工作日使用的耗材)</w:t>
            </w:r>
          </w:p>
        </w:tc>
        <w:tc>
          <w:tcPr>
            <w:tcW w:w="2100" w:type="dxa"/>
            <w:vAlign w:val="center"/>
          </w:tcPr>
          <w:p>
            <w:pPr>
              <w:jc w:val="center"/>
              <w:rPr>
                <w:rFonts w:hint="default" w:ascii="Arial"/>
                <w:sz w:val="21"/>
                <w:highlight w:val="blue"/>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none"/>
                <w:lang w:val="en-US" w:eastAsia="zh-CN" w:bidi="ar-SA"/>
              </w:rPr>
            </w:pPr>
          </w:p>
        </w:tc>
        <w:tc>
          <w:tcPr>
            <w:tcW w:w="1940" w:type="dxa"/>
            <w:vAlign w:val="top"/>
          </w:tcPr>
          <w:p>
            <w:pPr>
              <w:rPr>
                <w:rFonts w:ascii="Arial"/>
                <w:sz w:val="21"/>
              </w:rPr>
            </w:pPr>
          </w:p>
        </w:tc>
        <w:tc>
          <w:tcPr>
            <w:tcW w:w="1770" w:type="dxa"/>
            <w:vAlign w:val="top"/>
          </w:tcPr>
          <w:p>
            <w:pPr>
              <w:bidi w:val="0"/>
              <w:jc w:val="both"/>
              <w:rPr>
                <w:rFonts w:hint="default" w:asciiTheme="minorHAnsi" w:hAnsiTheme="minorHAnsi" w:eastAsiaTheme="minorEastAsia" w:cstheme="minorBidi"/>
                <w:kern w:val="2"/>
                <w:sz w:val="21"/>
                <w:szCs w:val="22"/>
                <w:lang w:val="en-US" w:eastAsia="zh-CN" w:bidi="ar-SA"/>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r>
              <w:rPr>
                <w:rFonts w:ascii="宋体" w:hAnsi="宋体" w:eastAsia="宋体" w:cs="宋体"/>
                <w:sz w:val="22"/>
                <w:szCs w:val="21"/>
              </w:rPr>
              <w:t>(</w:t>
            </w:r>
            <w:r>
              <w:rPr>
                <w:rFonts w:hint="eastAsia" w:ascii="宋体" w:hAnsi="宋体" w:eastAsia="宋体" w:cs="宋体"/>
                <w:sz w:val="22"/>
                <w:szCs w:val="21"/>
              </w:rPr>
              <w:t>含支撑600个工作日使用的耗材</w:t>
            </w:r>
            <w:r>
              <w:rPr>
                <w:rFonts w:ascii="宋体" w:hAnsi="宋体" w:eastAsia="宋体" w:cs="宋体"/>
                <w:sz w:val="22"/>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p>
        </w:tc>
        <w:tc>
          <w:tcPr>
            <w:tcW w:w="2100" w:type="dxa"/>
            <w:vAlign w:val="center"/>
          </w:tcPr>
          <w:p>
            <w:pPr>
              <w:jc w:val="center"/>
              <w:rPr>
                <w:rFonts w:hint="default" w:ascii="Arial"/>
                <w:sz w:val="21"/>
                <w:highlight w:val="blue"/>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none"/>
                <w:lang w:val="en-US" w:eastAsia="zh-CN" w:bidi="ar-SA"/>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3</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p>
        </w:tc>
        <w:tc>
          <w:tcPr>
            <w:tcW w:w="2100" w:type="dxa"/>
            <w:vAlign w:val="center"/>
          </w:tcPr>
          <w:p>
            <w:pPr>
              <w:jc w:val="center"/>
              <w:rPr>
                <w:rFonts w:ascii="Arial"/>
                <w:sz w:val="21"/>
                <w:highlight w:val="blue"/>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none"/>
                <w:lang w:val="en-US" w:eastAsia="zh-CN" w:bidi="ar-SA"/>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4</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p>
        </w:tc>
        <w:tc>
          <w:tcPr>
            <w:tcW w:w="2100" w:type="dxa"/>
            <w:vAlign w:val="center"/>
          </w:tcPr>
          <w:p>
            <w:pPr>
              <w:jc w:val="center"/>
              <w:rPr>
                <w:rFonts w:ascii="Arial"/>
                <w:sz w:val="21"/>
                <w:highlight w:val="blue"/>
              </w:rPr>
            </w:pPr>
          </w:p>
        </w:tc>
        <w:tc>
          <w:tcPr>
            <w:tcW w:w="840" w:type="dxa"/>
            <w:vAlign w:val="center"/>
          </w:tcPr>
          <w:p>
            <w:pPr>
              <w:spacing w:line="360" w:lineRule="auto"/>
              <w:jc w:val="center"/>
              <w:textAlignment w:val="center"/>
              <w:rPr>
                <w:rFonts w:hint="eastAsia" w:ascii="宋体" w:hAnsi="宋体" w:eastAsia="宋体" w:cs="宋体"/>
                <w:b w:val="0"/>
                <w:bCs w:val="0"/>
                <w:sz w:val="21"/>
                <w:szCs w:val="21"/>
                <w:highlight w:val="none"/>
                <w:lang w:val="en-US" w:eastAsia="zh-CN"/>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5</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p>
        </w:tc>
        <w:tc>
          <w:tcPr>
            <w:tcW w:w="2100" w:type="dxa"/>
            <w:vAlign w:val="center"/>
          </w:tcPr>
          <w:p>
            <w:pPr>
              <w:jc w:val="center"/>
              <w:rPr>
                <w:rFonts w:ascii="Arial"/>
                <w:sz w:val="21"/>
                <w:highlight w:val="blue"/>
              </w:rPr>
            </w:pPr>
          </w:p>
        </w:tc>
        <w:tc>
          <w:tcPr>
            <w:tcW w:w="840" w:type="dxa"/>
            <w:vAlign w:val="center"/>
          </w:tcPr>
          <w:p>
            <w:pPr>
              <w:spacing w:line="360" w:lineRule="auto"/>
              <w:jc w:val="center"/>
              <w:textAlignment w:val="center"/>
              <w:rPr>
                <w:rFonts w:hint="eastAsia" w:ascii="宋体" w:hAnsi="宋体" w:eastAsia="宋体" w:cs="宋体"/>
                <w:b w:val="0"/>
                <w:bCs w:val="0"/>
                <w:sz w:val="21"/>
                <w:szCs w:val="21"/>
                <w:highlight w:val="none"/>
                <w:lang w:val="en-US" w:eastAsia="zh-CN"/>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top"/>
          </w:tcPr>
          <w:p>
            <w:pPr>
              <w:spacing w:before="207" w:line="219" w:lineRule="auto"/>
              <w:ind w:left="3416"/>
              <w:rPr>
                <w:rFonts w:hint="eastAsia" w:ascii="宋体" w:hAnsi="宋体" w:eastAsia="宋体" w:cs="宋体"/>
                <w:sz w:val="21"/>
                <w:szCs w:val="21"/>
                <w:lang w:val="en-US" w:eastAsia="zh-CN"/>
              </w:rPr>
            </w:pPr>
            <w:r>
              <w:rPr>
                <w:rFonts w:ascii="宋体" w:hAnsi="宋体" w:eastAsia="宋体" w:cs="宋体"/>
                <w:spacing w:val="-6"/>
                <w:sz w:val="21"/>
                <w:szCs w:val="21"/>
              </w:rPr>
              <w:t>总</w:t>
            </w:r>
            <w:r>
              <w:rPr>
                <w:rFonts w:ascii="宋体" w:hAnsi="宋体" w:eastAsia="宋体" w:cs="宋体"/>
                <w:spacing w:val="-4"/>
                <w:sz w:val="21"/>
                <w:szCs w:val="21"/>
              </w:rPr>
              <w:t xml:space="preserve">价合计列入价格汇总表 </w:t>
            </w:r>
            <w:r>
              <w:rPr>
                <w:rFonts w:hint="eastAsia" w:ascii="宋体" w:hAnsi="宋体" w:eastAsia="宋体" w:cs="宋体"/>
                <w:spacing w:val="-4"/>
                <w:sz w:val="21"/>
                <w:szCs w:val="21"/>
                <w:lang w:val="en-US" w:eastAsia="zh-CN"/>
              </w:rPr>
              <w:t>9</w:t>
            </w:r>
            <w:r>
              <w:rPr>
                <w:rFonts w:ascii="宋体" w:hAnsi="宋体" w:eastAsia="宋体" w:cs="宋体"/>
                <w:spacing w:val="-4"/>
                <w:sz w:val="21"/>
                <w:szCs w:val="21"/>
              </w:rPr>
              <w:t>-</w:t>
            </w:r>
            <w:r>
              <w:rPr>
                <w:rFonts w:hint="eastAsia" w:ascii="宋体" w:hAnsi="宋体" w:eastAsia="宋体" w:cs="宋体"/>
                <w:spacing w:val="-4"/>
                <w:sz w:val="21"/>
                <w:szCs w:val="21"/>
                <w:lang w:val="en-US" w:eastAsia="zh-CN"/>
              </w:rPr>
              <w:t>5</w:t>
            </w:r>
          </w:p>
        </w:tc>
        <w:tc>
          <w:tcPr>
            <w:tcW w:w="4133" w:type="dxa"/>
            <w:gridSpan w:val="3"/>
            <w:vAlign w:val="top"/>
          </w:tcPr>
          <w:p>
            <w:pPr>
              <w:spacing w:before="207" w:line="219" w:lineRule="auto"/>
              <w:ind w:firstLine="630" w:firstLineChars="300"/>
              <w:rPr>
                <w:rFonts w:ascii="宋体" w:hAnsi="宋体" w:eastAsia="宋体" w:cs="宋体"/>
                <w:sz w:val="21"/>
                <w:szCs w:val="21"/>
              </w:rPr>
            </w:pPr>
            <w:r>
              <w:rPr>
                <w:rFonts w:ascii="宋体" w:hAnsi="宋体" w:eastAsia="宋体" w:cs="宋体"/>
                <w:sz w:val="21"/>
                <w:szCs w:val="21"/>
              </w:rPr>
              <w:t>总价合计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不含税</w:t>
            </w:r>
            <w:r>
              <w:rPr>
                <w:rFonts w:hint="eastAsia" w:ascii="宋体" w:hAnsi="宋体" w:eastAsia="宋体" w:cs="宋体"/>
                <w:sz w:val="21"/>
                <w:szCs w:val="21"/>
                <w:lang w:eastAsia="zh-CN"/>
              </w:rPr>
              <w:t>）</w:t>
            </w:r>
            <w:r>
              <w:rPr>
                <w:rFonts w:ascii="宋体" w:hAnsi="宋体" w:eastAsia="宋体" w:cs="宋体"/>
                <w:sz w:val="21"/>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0"/>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pgNumType w:fmt="decimal"/>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5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335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33" w:type="default"/>
          <w:pgSz w:w="16841" w:h="11907"/>
          <w:pgMar w:top="400" w:right="1699" w:bottom="1168" w:left="1481" w:header="0" w:footer="990" w:gutter="0"/>
          <w:pgNumType w:fmt="decimal"/>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4"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Times New Roman" w:hAnsi="Times New Roman" w:eastAsia="宋体" w:cs="Times New Roman"/>
                <w:b/>
                <w:szCs w:val="20"/>
                <w:lang w:val="en-US"/>
              </w:rPr>
            </w:pPr>
            <w:r>
              <w:rPr>
                <w:rFonts w:hint="eastAsia" w:ascii="宋体" w:hAnsi="宋体" w:eastAsia="宋体" w:cs="宋体"/>
                <w:b/>
                <w:szCs w:val="20"/>
              </w:rPr>
              <w:t>项目名称：</w:t>
            </w:r>
            <w:r>
              <w:rPr>
                <w:rFonts w:hint="eastAsia" w:ascii="宋体" w:hAnsi="宋体" w:eastAsia="宋体" w:cs="宋体"/>
                <w:b/>
                <w:szCs w:val="20"/>
                <w:lang w:val="en-US" w:eastAsia="zh-CN"/>
              </w:rPr>
              <w:t>氨分析仪项目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pPr>
    </w:p>
    <w:p>
      <w:pPr>
        <w:rPr>
          <w:rFonts w:hint="eastAsia" w:ascii="Times New Roman" w:hAnsi="Times New Roman" w:eastAsia="宋体" w:cs="Times New Roman"/>
          <w:b/>
          <w:bCs/>
          <w:color w:val="000000"/>
          <w:sz w:val="24"/>
          <w:szCs w:val="24"/>
        </w:rPr>
      </w:pPr>
      <w:r>
        <w:rPr>
          <w:rFonts w:asciiTheme="minorEastAsia" w:hAnsiTheme="minorEastAsia" w:cstheme="minorEastAsia"/>
          <w:sz w:val="20"/>
          <w:szCs w:val="20"/>
        </w:rPr>
        <w:br w:type="page"/>
      </w:r>
    </w:p>
    <w:p>
      <w:pPr>
        <w:pStyle w:val="2"/>
        <w:rPr>
          <w:rFonts w:hint="eastAsia"/>
        </w:rPr>
        <w:sectPr>
          <w:headerReference r:id="rId36" w:type="first"/>
          <w:footerReference r:id="rId38" w:type="first"/>
          <w:headerReference r:id="rId35" w:type="default"/>
          <w:footerReference r:id="rId37" w:type="default"/>
          <w:pgSz w:w="11906" w:h="16838"/>
          <w:pgMar w:top="1588" w:right="1418" w:bottom="1134" w:left="1418" w:header="851" w:footer="992" w:gutter="0"/>
          <w:pgNumType w:fmt="decimal"/>
          <w:cols w:space="720" w:num="1"/>
          <w:titlePg/>
          <w:docGrid w:type="lines" w:linePitch="312" w:charSpace="0"/>
        </w:sectPr>
      </w:pPr>
    </w:p>
    <w:p>
      <w:pPr>
        <w:pStyle w:val="4"/>
        <w:jc w:val="left"/>
        <w:outlineLvl w:val="2"/>
        <w:rPr>
          <w:rFonts w:hint="eastAsia" w:ascii="宋体" w:hAnsi="宋体" w:eastAsia="宋体" w:cs="Times New Roman"/>
          <w:b/>
          <w:bCs/>
          <w:sz w:val="24"/>
          <w:szCs w:val="24"/>
          <w:highlight w:val="none"/>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cs="Times New Roman"/>
          <w:b/>
          <w:bCs/>
          <w:sz w:val="24"/>
          <w:szCs w:val="24"/>
          <w:highlight w:val="none"/>
          <w:lang w:val="en-US" w:eastAsia="zh-CN"/>
        </w:rPr>
        <w:t>100</w:t>
      </w:r>
      <w:r>
        <w:rPr>
          <w:rFonts w:hint="eastAsia" w:ascii="宋体" w:hAnsi="宋体" w:eastAsia="宋体" w:cs="Times New Roman"/>
          <w:b/>
          <w:bCs/>
          <w:sz w:val="24"/>
          <w:szCs w:val="24"/>
          <w:highlight w:val="none"/>
        </w:rPr>
        <w:t>分）</w:t>
      </w:r>
    </w:p>
    <w:tbl>
      <w:tblPr>
        <w:tblStyle w:val="35"/>
        <w:tblW w:w="14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05"/>
        <w:gridCol w:w="3286"/>
        <w:gridCol w:w="741"/>
        <w:gridCol w:w="8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773" w:type="dxa"/>
            <w:vAlign w:val="center"/>
          </w:tcPr>
          <w:p>
            <w:pPr>
              <w:tabs>
                <w:tab w:val="left" w:pos="13965"/>
              </w:tabs>
              <w:spacing w:line="240" w:lineRule="auto"/>
              <w:ind w:right="-6"/>
              <w:jc w:val="center"/>
              <w:rPr>
                <w:rFonts w:ascii="宋体" w:hAnsi="宋体" w:eastAsia="宋体" w:cs="Times New Roman"/>
                <w:b/>
                <w:sz w:val="21"/>
                <w:szCs w:val="21"/>
                <w:highlight w:val="none"/>
              </w:rPr>
            </w:pPr>
            <w:r>
              <w:rPr>
                <w:rFonts w:hint="eastAsia" w:ascii="宋体" w:hAnsi="宋体" w:eastAsia="宋体" w:cs="Times New Roman"/>
                <w:b/>
                <w:sz w:val="21"/>
                <w:szCs w:val="21"/>
                <w:highlight w:val="none"/>
              </w:rPr>
              <w:t>评审内容</w:t>
            </w:r>
          </w:p>
        </w:tc>
        <w:tc>
          <w:tcPr>
            <w:tcW w:w="805"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序号</w:t>
            </w:r>
          </w:p>
        </w:tc>
        <w:tc>
          <w:tcPr>
            <w:tcW w:w="3286"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内</w:t>
            </w:r>
            <w:r>
              <w:rPr>
                <w:rFonts w:ascii="宋体" w:hAnsi="宋体" w:eastAsia="宋体" w:cs="Times New Roman"/>
                <w:b/>
                <w:sz w:val="21"/>
                <w:szCs w:val="21"/>
                <w:highlight w:val="none"/>
              </w:rPr>
              <w:t xml:space="preserve">   </w:t>
            </w:r>
            <w:r>
              <w:rPr>
                <w:rFonts w:hint="eastAsia" w:ascii="宋体" w:hAnsi="宋体" w:eastAsia="宋体" w:cs="Times New Roman"/>
                <w:b/>
                <w:sz w:val="21"/>
                <w:szCs w:val="21"/>
                <w:highlight w:val="none"/>
              </w:rPr>
              <w:t>容</w:t>
            </w:r>
          </w:p>
        </w:tc>
        <w:tc>
          <w:tcPr>
            <w:tcW w:w="741"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标准分</w:t>
            </w:r>
          </w:p>
        </w:tc>
        <w:tc>
          <w:tcPr>
            <w:tcW w:w="8433"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773" w:type="dxa"/>
            <w:vAlign w:val="center"/>
          </w:tcPr>
          <w:p>
            <w:pPr>
              <w:tabs>
                <w:tab w:val="left" w:pos="13965"/>
              </w:tabs>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业绩</w:t>
            </w:r>
          </w:p>
        </w:tc>
        <w:tc>
          <w:tcPr>
            <w:tcW w:w="805" w:type="dxa"/>
            <w:vAlign w:val="center"/>
          </w:tcPr>
          <w:p>
            <w:pPr>
              <w:tabs>
                <w:tab w:val="left" w:pos="13965"/>
              </w:tabs>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1</w:t>
            </w:r>
          </w:p>
        </w:tc>
        <w:tc>
          <w:tcPr>
            <w:tcW w:w="3286"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sz w:val="21"/>
                <w:szCs w:val="21"/>
                <w:highlight w:val="none"/>
              </w:rPr>
              <w:t>设备制造商同类型项目业绩</w:t>
            </w:r>
          </w:p>
        </w:tc>
        <w:tc>
          <w:tcPr>
            <w:tcW w:w="741" w:type="dxa"/>
            <w:vAlign w:val="center"/>
          </w:tcPr>
          <w:p>
            <w:pPr>
              <w:tabs>
                <w:tab w:val="left" w:pos="13965"/>
              </w:tabs>
              <w:spacing w:line="240" w:lineRule="auto"/>
              <w:jc w:val="center"/>
              <w:rPr>
                <w:rFonts w:hint="eastAsia" w:ascii="宋体" w:hAnsi="宋体" w:eastAsia="宋体" w:cs="Times New Roman"/>
                <w:sz w:val="21"/>
                <w:szCs w:val="21"/>
                <w:highlight w:val="none"/>
                <w:lang w:eastAsia="zh-CN"/>
              </w:rPr>
            </w:pPr>
            <w:r>
              <w:rPr>
                <w:rFonts w:hint="eastAsia" w:ascii="宋体" w:hAnsi="宋体" w:eastAsia="宋体" w:cs="Times New Roman"/>
                <w:sz w:val="21"/>
                <w:szCs w:val="21"/>
                <w:highlight w:val="none"/>
                <w:lang w:val="en-US" w:eastAsia="zh-CN"/>
              </w:rPr>
              <w:t>6</w:t>
            </w:r>
          </w:p>
        </w:tc>
        <w:tc>
          <w:tcPr>
            <w:tcW w:w="8433" w:type="dxa"/>
            <w:vAlign w:val="center"/>
          </w:tcPr>
          <w:p>
            <w:pPr>
              <w:spacing w:line="240" w:lineRule="auto"/>
              <w:rPr>
                <w:rFonts w:ascii="宋体" w:hAnsi="宋体"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w:t>
            </w:r>
            <w:r>
              <w:rPr>
                <w:rFonts w:hint="eastAsia" w:ascii="宋体" w:hAnsi="宋体" w:eastAsia="宋体" w:cs="Times New Roman"/>
                <w:bCs/>
                <w:sz w:val="21"/>
                <w:szCs w:val="21"/>
                <w:highlight w:val="none"/>
                <w:lang w:val="en-US" w:eastAsia="zh-CN"/>
              </w:rPr>
              <w:t>6</w:t>
            </w:r>
            <w:r>
              <w:rPr>
                <w:rFonts w:hint="eastAsia" w:ascii="宋体" w:hAnsi="宋体" w:eastAsia="宋体" w:cs="Times New Roman"/>
                <w:bCs/>
                <w:sz w:val="21"/>
                <w:szCs w:val="21"/>
                <w:highlight w:val="none"/>
              </w:rPr>
              <w:t>分，良得</w:t>
            </w:r>
            <w:r>
              <w:rPr>
                <w:rFonts w:hint="eastAsia" w:ascii="宋体" w:hAnsi="宋体" w:eastAsia="宋体" w:cs="Times New Roman"/>
                <w:bCs/>
                <w:sz w:val="21"/>
                <w:szCs w:val="21"/>
                <w:highlight w:val="none"/>
                <w:lang w:val="en-US" w:eastAsia="zh-CN"/>
              </w:rPr>
              <w:t>4</w:t>
            </w:r>
            <w:r>
              <w:rPr>
                <w:rFonts w:hint="eastAsia" w:ascii="宋体" w:hAnsi="宋体" w:eastAsia="宋体" w:cs="Times New Roman"/>
                <w:bCs/>
                <w:sz w:val="21"/>
                <w:szCs w:val="21"/>
                <w:highlight w:val="none"/>
              </w:rPr>
              <w:t>分，一般得</w:t>
            </w:r>
            <w:r>
              <w:rPr>
                <w:rFonts w:hint="eastAsia" w:ascii="宋体" w:hAnsi="宋体" w:eastAsia="宋体" w:cs="Times New Roman"/>
                <w:bCs/>
                <w:sz w:val="21"/>
                <w:szCs w:val="21"/>
                <w:highlight w:val="none"/>
                <w:lang w:val="en-US" w:eastAsia="zh-CN"/>
              </w:rPr>
              <w:t>2</w:t>
            </w:r>
            <w:r>
              <w:rPr>
                <w:rFonts w:hint="eastAsia" w:ascii="宋体" w:hAnsi="宋体" w:eastAsia="宋体" w:cs="Times New Roman"/>
                <w:bCs/>
                <w:sz w:val="21"/>
                <w:szCs w:val="21"/>
                <w:highlight w:val="none"/>
              </w:rPr>
              <w:t>分（时间以签订日期为准）。</w:t>
            </w:r>
          </w:p>
          <w:p>
            <w:pPr>
              <w:spacing w:line="240" w:lineRule="auto"/>
              <w:rPr>
                <w:sz w:val="21"/>
                <w:szCs w:val="21"/>
                <w:highlight w:val="none"/>
              </w:rPr>
            </w:pPr>
            <w:r>
              <w:rPr>
                <w:rFonts w:hint="eastAsia" w:ascii="宋体" w:hAnsi="宋体" w:eastAsia="宋体" w:cs="Times New Roman"/>
                <w:bCs/>
                <w:sz w:val="21"/>
                <w:szCs w:val="21"/>
                <w:highlight w:val="none"/>
              </w:rPr>
              <w:t>投标人在20</w:t>
            </w:r>
            <w:r>
              <w:rPr>
                <w:rFonts w:hint="eastAsia" w:ascii="宋体" w:hAnsi="宋体" w:eastAsia="宋体" w:cs="Times New Roman"/>
                <w:bCs/>
                <w:sz w:val="21"/>
                <w:szCs w:val="21"/>
                <w:highlight w:val="none"/>
                <w:lang w:val="en-US" w:eastAsia="zh-CN"/>
              </w:rPr>
              <w:t>20</w:t>
            </w:r>
            <w:r>
              <w:rPr>
                <w:rFonts w:hint="eastAsia" w:ascii="宋体" w:hAnsi="宋体" w:eastAsia="宋体" w:cs="Times New Roman"/>
                <w:bCs/>
                <w:sz w:val="21"/>
                <w:szCs w:val="21"/>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773" w:type="dxa"/>
            <w:vMerge w:val="restart"/>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产品技术</w:t>
            </w:r>
          </w:p>
        </w:tc>
        <w:tc>
          <w:tcPr>
            <w:tcW w:w="805"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2</w:t>
            </w:r>
          </w:p>
        </w:tc>
        <w:tc>
          <w:tcPr>
            <w:tcW w:w="3286"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设备制造商装备制造能力、生产设备、加工工艺、完善程度</w:t>
            </w:r>
          </w:p>
        </w:tc>
        <w:tc>
          <w:tcPr>
            <w:tcW w:w="741" w:type="dxa"/>
            <w:vAlign w:val="center"/>
          </w:tcPr>
          <w:p>
            <w:pPr>
              <w:spacing w:line="240" w:lineRule="auto"/>
              <w:jc w:val="center"/>
              <w:rPr>
                <w:rFonts w:hint="eastAsia" w:ascii="宋体" w:hAnsi="宋体" w:eastAsia="宋体" w:cs="Times New Roman"/>
                <w:sz w:val="21"/>
                <w:szCs w:val="21"/>
                <w:highlight w:val="none"/>
                <w:lang w:eastAsia="zh-CN"/>
              </w:rPr>
            </w:pPr>
            <w:r>
              <w:rPr>
                <w:rFonts w:hint="eastAsia" w:ascii="宋体" w:hAnsi="宋体" w:eastAsia="宋体" w:cs="Times New Roman"/>
                <w:sz w:val="21"/>
                <w:szCs w:val="21"/>
                <w:highlight w:val="none"/>
                <w:lang w:val="en-US" w:eastAsia="zh-CN"/>
              </w:rPr>
              <w:t>6</w:t>
            </w:r>
          </w:p>
        </w:tc>
        <w:tc>
          <w:tcPr>
            <w:tcW w:w="8433"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w:t>
            </w:r>
            <w:r>
              <w:rPr>
                <w:rFonts w:hint="eastAsia" w:ascii="宋体" w:hAnsi="宋体" w:eastAsia="宋体" w:cs="Times New Roman"/>
                <w:bCs/>
                <w:sz w:val="21"/>
                <w:szCs w:val="21"/>
                <w:highlight w:val="none"/>
                <w:lang w:val="en-US" w:eastAsia="zh-CN"/>
              </w:rPr>
              <w:t>6</w:t>
            </w:r>
            <w:r>
              <w:rPr>
                <w:rFonts w:hint="eastAsia" w:ascii="宋体" w:hAnsi="宋体" w:eastAsia="宋体" w:cs="Times New Roman"/>
                <w:bCs/>
                <w:sz w:val="21"/>
                <w:szCs w:val="21"/>
                <w:highlight w:val="none"/>
              </w:rPr>
              <w:t>分，良得</w:t>
            </w:r>
            <w:r>
              <w:rPr>
                <w:rFonts w:hint="eastAsia" w:ascii="宋体" w:hAnsi="宋体" w:eastAsia="宋体" w:cs="Times New Roman"/>
                <w:bCs/>
                <w:sz w:val="21"/>
                <w:szCs w:val="21"/>
                <w:highlight w:val="none"/>
                <w:lang w:val="en-US" w:eastAsia="zh-CN"/>
              </w:rPr>
              <w:t>4</w:t>
            </w:r>
            <w:r>
              <w:rPr>
                <w:rFonts w:hint="eastAsia" w:ascii="宋体" w:hAnsi="宋体" w:eastAsia="宋体" w:cs="Times New Roman"/>
                <w:bCs/>
                <w:sz w:val="21"/>
                <w:szCs w:val="21"/>
                <w:highlight w:val="none"/>
              </w:rPr>
              <w:t>分，一般得</w:t>
            </w:r>
            <w:r>
              <w:rPr>
                <w:rFonts w:hint="eastAsia" w:ascii="宋体" w:hAnsi="Times New Roman" w:eastAsia="宋体" w:cs="Times New Roman"/>
                <w:bCs/>
                <w:sz w:val="21"/>
                <w:szCs w:val="21"/>
                <w:highlight w:val="none"/>
                <w:lang w:val="en-US" w:eastAsia="zh-CN"/>
              </w:rPr>
              <w:t>2</w:t>
            </w:r>
            <w:r>
              <w:rPr>
                <w:rFonts w:hint="eastAsia" w:ascii="宋体" w:hAnsi="宋体" w:eastAsia="宋体" w:cs="Times New Roman"/>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773" w:type="dxa"/>
            <w:vMerge w:val="continue"/>
            <w:vAlign w:val="center"/>
          </w:tcPr>
          <w:p>
            <w:pPr>
              <w:spacing w:line="240" w:lineRule="auto"/>
              <w:jc w:val="center"/>
              <w:rPr>
                <w:rFonts w:ascii="宋体" w:hAnsi="宋体" w:eastAsia="宋体" w:cs="Times New Roman"/>
                <w:sz w:val="21"/>
                <w:szCs w:val="21"/>
                <w:highlight w:val="none"/>
              </w:rPr>
            </w:pPr>
          </w:p>
        </w:tc>
        <w:tc>
          <w:tcPr>
            <w:tcW w:w="805"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3</w:t>
            </w:r>
          </w:p>
        </w:tc>
        <w:tc>
          <w:tcPr>
            <w:tcW w:w="3286"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产品方案技术先进、各系统完善、性能可靠，设备主要核心部件，具备自身技术优势</w:t>
            </w:r>
          </w:p>
        </w:tc>
        <w:tc>
          <w:tcPr>
            <w:tcW w:w="741" w:type="dxa"/>
            <w:vAlign w:val="center"/>
          </w:tcPr>
          <w:p>
            <w:pPr>
              <w:spacing w:line="240" w:lineRule="auto"/>
              <w:jc w:val="center"/>
              <w:rPr>
                <w:rFonts w:hint="default"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50</w:t>
            </w:r>
          </w:p>
        </w:tc>
        <w:tc>
          <w:tcPr>
            <w:tcW w:w="8433" w:type="dxa"/>
            <w:vAlign w:val="center"/>
          </w:tcPr>
          <w:p>
            <w:pPr>
              <w:spacing w:line="240" w:lineRule="auto"/>
              <w:rPr>
                <w:rFonts w:ascii="宋体" w:hAnsi="宋体" w:eastAsia="宋体" w:cs="Times New Roman"/>
                <w:sz w:val="21"/>
                <w:szCs w:val="21"/>
                <w:highlight w:val="none"/>
              </w:rPr>
            </w:pPr>
            <w:r>
              <w:rPr>
                <w:rFonts w:hint="eastAsia" w:ascii="宋体" w:hAnsi="宋体" w:eastAsia="宋体" w:cs="Times New Roman"/>
                <w:sz w:val="21"/>
                <w:szCs w:val="21"/>
                <w:highlight w:val="none"/>
              </w:rPr>
              <w:t>以下各项由评标委员会成员独立进行客观、公正的评价打分。</w:t>
            </w:r>
            <w:r>
              <w:rPr>
                <w:rFonts w:ascii="宋体" w:hAnsi="宋体" w:eastAsia="宋体" w:cs="Times New Roman"/>
                <w:sz w:val="21"/>
                <w:szCs w:val="21"/>
                <w:highlight w:val="none"/>
              </w:rPr>
              <w:t xml:space="preserve"> </w:t>
            </w:r>
          </w:p>
          <w:p>
            <w:pPr>
              <w:numPr>
                <w:ilvl w:val="0"/>
                <w:numId w:val="0"/>
              </w:numPr>
              <w:spacing w:line="240" w:lineRule="auto"/>
              <w:ind w:leftChars="0"/>
              <w:rPr>
                <w:rFonts w:ascii="宋体" w:hAnsi="Times New Roman" w:eastAsia="宋体" w:cs="Times New Roman"/>
                <w:sz w:val="21"/>
                <w:szCs w:val="21"/>
                <w:highlight w:val="none"/>
              </w:rPr>
            </w:pPr>
            <w:r>
              <w:rPr>
                <w:rFonts w:hint="eastAsia" w:ascii="宋体" w:hAnsi="宋体" w:eastAsia="宋体" w:cs="Times New Roman"/>
                <w:bCs/>
                <w:sz w:val="21"/>
                <w:szCs w:val="21"/>
                <w:highlight w:val="none"/>
                <w:lang w:val="en-US" w:eastAsia="zh-CN"/>
              </w:rPr>
              <w:t>1）</w:t>
            </w:r>
            <w:r>
              <w:rPr>
                <w:rFonts w:hint="eastAsia" w:ascii="宋体" w:hAnsi="宋体" w:eastAsia="宋体" w:cs="Times New Roman"/>
                <w:bCs/>
                <w:sz w:val="21"/>
                <w:szCs w:val="21"/>
                <w:highlight w:val="none"/>
              </w:rPr>
              <w:t>定制系统方案已到达招标要求，设备主要核心部件具备自身技术优势，打分</w:t>
            </w:r>
            <w:r>
              <w:rPr>
                <w:rFonts w:ascii="宋体" w:hAnsi="宋体" w:eastAsia="宋体" w:cs="Times New Roman"/>
                <w:bCs/>
                <w:sz w:val="21"/>
                <w:szCs w:val="21"/>
                <w:highlight w:val="none"/>
              </w:rPr>
              <w:t>0-</w:t>
            </w:r>
            <w:r>
              <w:rPr>
                <w:rFonts w:hint="eastAsia" w:ascii="宋体" w:hAnsi="宋体" w:eastAsia="宋体" w:cs="Times New Roman"/>
                <w:bCs/>
                <w:sz w:val="21"/>
                <w:szCs w:val="21"/>
                <w:highlight w:val="none"/>
                <w:lang w:val="en-US" w:eastAsia="zh-CN"/>
              </w:rPr>
              <w:t>16</w:t>
            </w:r>
            <w:r>
              <w:rPr>
                <w:rFonts w:hint="eastAsia" w:ascii="宋体" w:hAnsi="宋体" w:eastAsia="宋体" w:cs="Times New Roman"/>
                <w:bCs/>
                <w:sz w:val="21"/>
                <w:szCs w:val="21"/>
                <w:highlight w:val="none"/>
              </w:rPr>
              <w:t>分。</w:t>
            </w:r>
          </w:p>
          <w:p>
            <w:pPr>
              <w:numPr>
                <w:ilvl w:val="0"/>
                <w:numId w:val="0"/>
              </w:numPr>
              <w:spacing w:line="240" w:lineRule="auto"/>
              <w:ind w:leftChars="0"/>
              <w:rPr>
                <w:rFonts w:ascii="宋体" w:hAnsi="Times New Roman" w:eastAsia="宋体" w:cs="Times New Roman"/>
                <w:sz w:val="21"/>
                <w:szCs w:val="21"/>
                <w:highlight w:val="none"/>
              </w:rPr>
            </w:pPr>
            <w:r>
              <w:rPr>
                <w:rFonts w:hint="eastAsia" w:ascii="宋体" w:hAnsi="宋体" w:eastAsia="宋体" w:cs="Times New Roman"/>
                <w:bCs/>
                <w:sz w:val="21"/>
                <w:szCs w:val="21"/>
                <w:highlight w:val="none"/>
                <w:lang w:val="en-US" w:eastAsia="zh-CN"/>
              </w:rPr>
              <w:t>2）</w:t>
            </w:r>
            <w:r>
              <w:rPr>
                <w:rFonts w:hint="eastAsia" w:ascii="宋体" w:hAnsi="宋体" w:eastAsia="宋体" w:cs="Times New Roman"/>
                <w:bCs/>
                <w:sz w:val="21"/>
                <w:szCs w:val="21"/>
                <w:highlight w:val="none"/>
              </w:rPr>
              <w:t>系统配置齐全，其精度、参数、技术水平、可靠性等优势明显，打分</w:t>
            </w:r>
            <w:r>
              <w:rPr>
                <w:rFonts w:ascii="宋体" w:hAnsi="宋体" w:eastAsia="宋体" w:cs="Times New Roman"/>
                <w:bCs/>
                <w:sz w:val="21"/>
                <w:szCs w:val="21"/>
                <w:highlight w:val="none"/>
              </w:rPr>
              <w:t>0-</w:t>
            </w:r>
            <w:r>
              <w:rPr>
                <w:rFonts w:hint="eastAsia" w:ascii="宋体" w:hAnsi="宋体" w:eastAsia="宋体" w:cs="Times New Roman"/>
                <w:bCs/>
                <w:sz w:val="21"/>
                <w:szCs w:val="21"/>
                <w:highlight w:val="none"/>
                <w:lang w:val="en-US" w:eastAsia="zh-CN"/>
              </w:rPr>
              <w:t>16</w:t>
            </w:r>
            <w:r>
              <w:rPr>
                <w:rFonts w:hint="eastAsia" w:ascii="宋体" w:hAnsi="宋体" w:eastAsia="宋体" w:cs="Times New Roman"/>
                <w:bCs/>
                <w:sz w:val="21"/>
                <w:szCs w:val="21"/>
                <w:highlight w:val="none"/>
              </w:rPr>
              <w:t>分</w:t>
            </w:r>
            <w:r>
              <w:rPr>
                <w:rFonts w:hint="eastAsia" w:ascii="宋体" w:hAnsi="宋体" w:eastAsia="宋体" w:cs="Times New Roman"/>
                <w:sz w:val="21"/>
                <w:szCs w:val="21"/>
                <w:highlight w:val="none"/>
              </w:rPr>
              <w:t>。</w:t>
            </w:r>
          </w:p>
          <w:p>
            <w:pPr>
              <w:numPr>
                <w:ilvl w:val="0"/>
                <w:numId w:val="0"/>
              </w:numPr>
              <w:spacing w:line="240" w:lineRule="auto"/>
              <w:ind w:leftChars="0"/>
              <w:rPr>
                <w:rFonts w:ascii="宋体" w:hAnsi="Times New Roman" w:eastAsia="宋体" w:cs="Times New Roman"/>
                <w:sz w:val="21"/>
                <w:szCs w:val="21"/>
                <w:highlight w:val="none"/>
              </w:rPr>
            </w:pPr>
            <w:r>
              <w:rPr>
                <w:rFonts w:hint="eastAsia" w:ascii="宋体" w:hAnsi="宋体" w:eastAsia="宋体" w:cs="Times New Roman"/>
                <w:sz w:val="21"/>
                <w:szCs w:val="21"/>
                <w:highlight w:val="none"/>
                <w:lang w:val="en-US" w:eastAsia="zh-CN"/>
              </w:rPr>
              <w:t>3）</w:t>
            </w:r>
            <w:r>
              <w:rPr>
                <w:rFonts w:hint="eastAsia" w:ascii="宋体" w:hAnsi="宋体" w:eastAsia="宋体" w:cs="Times New Roman"/>
                <w:sz w:val="21"/>
                <w:szCs w:val="21"/>
                <w:highlight w:val="none"/>
              </w:rPr>
              <w:t>操作灵活方便，系统开放程度高，</w:t>
            </w:r>
            <w:r>
              <w:rPr>
                <w:rFonts w:hint="eastAsia" w:ascii="宋体" w:hAnsi="宋体" w:eastAsia="宋体" w:cs="Times New Roman"/>
                <w:bCs/>
                <w:sz w:val="21"/>
                <w:szCs w:val="21"/>
                <w:highlight w:val="none"/>
              </w:rPr>
              <w:t>打分</w:t>
            </w:r>
            <w:r>
              <w:rPr>
                <w:rFonts w:ascii="宋体" w:hAnsi="宋体" w:eastAsia="宋体" w:cs="Times New Roman"/>
                <w:bCs/>
                <w:sz w:val="21"/>
                <w:szCs w:val="21"/>
                <w:highlight w:val="none"/>
              </w:rPr>
              <w:t>0-</w:t>
            </w:r>
            <w:r>
              <w:rPr>
                <w:rFonts w:hint="eastAsia" w:ascii="宋体" w:hAnsi="宋体" w:eastAsia="宋体" w:cs="Times New Roman"/>
                <w:bCs/>
                <w:sz w:val="21"/>
                <w:szCs w:val="21"/>
                <w:highlight w:val="none"/>
                <w:lang w:val="en-US" w:eastAsia="zh-CN"/>
              </w:rPr>
              <w:t>10</w:t>
            </w:r>
            <w:r>
              <w:rPr>
                <w:rFonts w:hint="eastAsia" w:ascii="宋体" w:hAnsi="宋体" w:eastAsia="宋体" w:cs="Times New Roman"/>
                <w:bCs/>
                <w:sz w:val="21"/>
                <w:szCs w:val="21"/>
                <w:highlight w:val="none"/>
              </w:rPr>
              <w:t>分</w:t>
            </w:r>
            <w:r>
              <w:rPr>
                <w:rFonts w:hint="eastAsia" w:ascii="宋体" w:hAnsi="宋体" w:eastAsia="宋体" w:cs="Times New Roman"/>
                <w:sz w:val="21"/>
                <w:szCs w:val="21"/>
                <w:highlight w:val="none"/>
              </w:rPr>
              <w:t>。</w:t>
            </w:r>
          </w:p>
          <w:p>
            <w:pPr>
              <w:numPr>
                <w:ilvl w:val="0"/>
                <w:numId w:val="0"/>
              </w:numPr>
              <w:spacing w:line="240" w:lineRule="auto"/>
              <w:ind w:leftChars="0"/>
              <w:rPr>
                <w:rFonts w:ascii="宋体" w:hAnsi="Times New Roman" w:eastAsia="宋体" w:cs="Times New Roman"/>
                <w:sz w:val="21"/>
                <w:szCs w:val="21"/>
                <w:highlight w:val="none"/>
              </w:rPr>
            </w:pPr>
            <w:r>
              <w:rPr>
                <w:rFonts w:hint="eastAsia" w:ascii="宋体" w:hAnsi="宋体" w:eastAsia="宋体" w:cs="Times New Roman"/>
                <w:sz w:val="21"/>
                <w:szCs w:val="21"/>
                <w:highlight w:val="none"/>
                <w:lang w:val="en-US" w:eastAsia="zh-CN"/>
              </w:rPr>
              <w:t>4）</w:t>
            </w:r>
            <w:r>
              <w:rPr>
                <w:rFonts w:hint="eastAsia" w:ascii="宋体" w:hAnsi="宋体" w:eastAsia="宋体" w:cs="Times New Roman"/>
                <w:sz w:val="21"/>
                <w:szCs w:val="21"/>
                <w:highlight w:val="none"/>
              </w:rPr>
              <w:t>综合评价，</w:t>
            </w:r>
            <w:r>
              <w:rPr>
                <w:rFonts w:hint="eastAsia" w:ascii="宋体" w:hAnsi="宋体" w:eastAsia="宋体" w:cs="Times New Roman"/>
                <w:bCs/>
                <w:sz w:val="21"/>
                <w:szCs w:val="21"/>
                <w:highlight w:val="none"/>
              </w:rPr>
              <w:t>打分</w:t>
            </w:r>
            <w:r>
              <w:rPr>
                <w:rFonts w:ascii="宋体" w:hAnsi="宋体" w:eastAsia="宋体" w:cs="Times New Roman"/>
                <w:bCs/>
                <w:sz w:val="21"/>
                <w:szCs w:val="21"/>
                <w:highlight w:val="none"/>
              </w:rPr>
              <w:t>0-</w:t>
            </w:r>
            <w:r>
              <w:rPr>
                <w:rFonts w:hint="eastAsia" w:ascii="宋体" w:hAnsi="宋体" w:eastAsia="宋体" w:cs="Times New Roman"/>
                <w:bCs/>
                <w:sz w:val="21"/>
                <w:szCs w:val="21"/>
                <w:highlight w:val="none"/>
                <w:lang w:val="en-US" w:eastAsia="zh-CN"/>
              </w:rPr>
              <w:t>8</w:t>
            </w:r>
            <w:r>
              <w:rPr>
                <w:rFonts w:hint="eastAsia" w:ascii="宋体" w:hAnsi="宋体" w:eastAsia="宋体" w:cs="Times New Roman"/>
                <w:bCs/>
                <w:sz w:val="21"/>
                <w:szCs w:val="21"/>
                <w:highlight w:val="none"/>
              </w:rPr>
              <w:t>分</w:t>
            </w: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773"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答疑</w:t>
            </w:r>
          </w:p>
        </w:tc>
        <w:tc>
          <w:tcPr>
            <w:tcW w:w="805"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4</w:t>
            </w:r>
          </w:p>
        </w:tc>
        <w:tc>
          <w:tcPr>
            <w:tcW w:w="3286"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现场答疑</w:t>
            </w:r>
          </w:p>
        </w:tc>
        <w:tc>
          <w:tcPr>
            <w:tcW w:w="741" w:type="dxa"/>
            <w:vAlign w:val="center"/>
          </w:tcPr>
          <w:p>
            <w:pPr>
              <w:spacing w:line="240" w:lineRule="auto"/>
              <w:jc w:val="center"/>
              <w:rPr>
                <w:rFonts w:hint="eastAsia" w:ascii="宋体" w:hAnsi="宋体" w:eastAsia="宋体" w:cs="Times New Roman"/>
                <w:sz w:val="21"/>
                <w:szCs w:val="21"/>
                <w:highlight w:val="none"/>
                <w:lang w:eastAsia="zh-CN"/>
              </w:rPr>
            </w:pPr>
            <w:r>
              <w:rPr>
                <w:rFonts w:hint="eastAsia" w:ascii="宋体" w:hAnsi="宋体" w:eastAsia="宋体" w:cs="Times New Roman"/>
                <w:sz w:val="21"/>
                <w:szCs w:val="21"/>
                <w:highlight w:val="none"/>
                <w:lang w:val="en-US" w:eastAsia="zh-CN"/>
              </w:rPr>
              <w:t>8</w:t>
            </w:r>
          </w:p>
        </w:tc>
        <w:tc>
          <w:tcPr>
            <w:tcW w:w="8433"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sz w:val="21"/>
                <w:szCs w:val="21"/>
                <w:highlight w:val="none"/>
              </w:rPr>
              <w:t>投标人代表对方案、技术优势的讲解，以及就该项目难点回答评标专家现场提问，打分0-</w:t>
            </w:r>
            <w:r>
              <w:rPr>
                <w:rFonts w:hint="eastAsia" w:ascii="宋体" w:hAnsi="宋体" w:eastAsia="宋体" w:cs="Times New Roman"/>
                <w:sz w:val="21"/>
                <w:szCs w:val="21"/>
                <w:highlight w:val="none"/>
                <w:lang w:val="en-US" w:eastAsia="zh-CN"/>
              </w:rPr>
              <w:t>8</w:t>
            </w:r>
            <w:r>
              <w:rPr>
                <w:rFonts w:hint="eastAsia" w:ascii="宋体" w:hAnsi="宋体" w:eastAsia="宋体" w:cs="Times New Roman"/>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jc w:val="center"/>
        </w:trPr>
        <w:tc>
          <w:tcPr>
            <w:tcW w:w="773"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技术偏离</w:t>
            </w:r>
          </w:p>
        </w:tc>
        <w:tc>
          <w:tcPr>
            <w:tcW w:w="805"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5</w:t>
            </w:r>
          </w:p>
        </w:tc>
        <w:tc>
          <w:tcPr>
            <w:tcW w:w="3286"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bCs/>
                <w:sz w:val="21"/>
                <w:szCs w:val="21"/>
                <w:highlight w:val="none"/>
              </w:rPr>
              <w:t>技术偏离</w:t>
            </w:r>
          </w:p>
        </w:tc>
        <w:tc>
          <w:tcPr>
            <w:tcW w:w="741" w:type="dxa"/>
            <w:vAlign w:val="center"/>
          </w:tcPr>
          <w:p>
            <w:pPr>
              <w:spacing w:line="240" w:lineRule="auto"/>
              <w:jc w:val="center"/>
              <w:rPr>
                <w:rFonts w:hint="default"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12</w:t>
            </w:r>
          </w:p>
        </w:tc>
        <w:tc>
          <w:tcPr>
            <w:tcW w:w="8433" w:type="dxa"/>
            <w:vAlign w:val="center"/>
          </w:tcPr>
          <w:p>
            <w:pPr>
              <w:spacing w:line="240" w:lineRule="auto"/>
              <w:jc w:val="left"/>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由评标委员会成员独立进行客观、公正的评价，根据各</w:t>
            </w:r>
            <w:r>
              <w:rPr>
                <w:rFonts w:hint="eastAsia" w:ascii="宋体" w:hAnsi="宋体" w:eastAsia="宋体" w:cs="Times New Roman"/>
                <w:bCs/>
                <w:sz w:val="21"/>
                <w:szCs w:val="21"/>
                <w:highlight w:val="none"/>
                <w:lang w:eastAsia="zh-CN"/>
              </w:rPr>
              <w:t>投标人</w:t>
            </w:r>
            <w:r>
              <w:rPr>
                <w:rFonts w:hint="eastAsia" w:ascii="宋体" w:hAnsi="宋体" w:eastAsia="宋体" w:cs="Times New Roman"/>
                <w:bCs/>
                <w:sz w:val="21"/>
                <w:szCs w:val="21"/>
                <w:highlight w:val="none"/>
              </w:rPr>
              <w:t>的核心产品的配置参数、技术偏离情况，在满足我司技术基本要求的前提下偏离，无偏离得满分</w:t>
            </w:r>
            <w:r>
              <w:rPr>
                <w:rFonts w:hint="eastAsia" w:ascii="宋体" w:hAnsi="宋体" w:eastAsia="宋体" w:cs="Times New Roman"/>
                <w:bCs/>
                <w:sz w:val="21"/>
                <w:szCs w:val="21"/>
                <w:highlight w:val="none"/>
                <w:lang w:val="en-US" w:eastAsia="zh-CN"/>
              </w:rPr>
              <w:t>12</w:t>
            </w:r>
            <w:r>
              <w:rPr>
                <w:rFonts w:hint="eastAsia" w:ascii="宋体" w:hAnsi="宋体" w:eastAsia="宋体" w:cs="Times New Roman"/>
                <w:bCs/>
                <w:sz w:val="21"/>
                <w:szCs w:val="21"/>
                <w:highlight w:val="none"/>
              </w:rPr>
              <w:t>分，较大偏离每一项扣</w:t>
            </w:r>
            <w:r>
              <w:rPr>
                <w:rFonts w:ascii="宋体" w:hAnsi="宋体" w:eastAsia="宋体" w:cs="Times New Roman"/>
                <w:bCs/>
                <w:sz w:val="21"/>
                <w:szCs w:val="21"/>
                <w:highlight w:val="none"/>
              </w:rPr>
              <w:t>2</w:t>
            </w:r>
            <w:r>
              <w:rPr>
                <w:rFonts w:hint="eastAsia" w:ascii="宋体" w:hAnsi="宋体" w:eastAsia="宋体" w:cs="Times New Roman"/>
                <w:bCs/>
                <w:sz w:val="21"/>
                <w:szCs w:val="21"/>
                <w:highlight w:val="none"/>
              </w:rPr>
              <w:t>分，一般偏离每一项扣</w:t>
            </w:r>
            <w:r>
              <w:rPr>
                <w:rFonts w:ascii="宋体" w:hAnsi="宋体" w:eastAsia="宋体" w:cs="Times New Roman"/>
                <w:bCs/>
                <w:sz w:val="21"/>
                <w:szCs w:val="21"/>
                <w:highlight w:val="none"/>
              </w:rPr>
              <w:t>1</w:t>
            </w:r>
            <w:r>
              <w:rPr>
                <w:rFonts w:hint="eastAsia" w:ascii="宋体" w:hAnsi="宋体" w:eastAsia="宋体" w:cs="Times New Roman"/>
                <w:bCs/>
                <w:sz w:val="21"/>
                <w:szCs w:val="21"/>
                <w:highlight w:val="none"/>
              </w:rPr>
              <w:t>分，最低</w:t>
            </w:r>
            <w:r>
              <w:rPr>
                <w:rFonts w:ascii="宋体" w:hAnsi="Times New Roman" w:eastAsia="宋体" w:cs="Times New Roman"/>
                <w:bCs/>
                <w:sz w:val="21"/>
                <w:szCs w:val="21"/>
                <w:highlight w:val="none"/>
              </w:rPr>
              <w:t>0</w:t>
            </w:r>
            <w:r>
              <w:rPr>
                <w:rFonts w:hint="eastAsia" w:ascii="宋体" w:hAnsi="宋体" w:eastAsia="宋体" w:cs="Times New Roman"/>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773" w:type="dxa"/>
            <w:vMerge w:val="restart"/>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售后服务</w:t>
            </w:r>
          </w:p>
        </w:tc>
        <w:tc>
          <w:tcPr>
            <w:tcW w:w="805"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6</w:t>
            </w:r>
          </w:p>
        </w:tc>
        <w:tc>
          <w:tcPr>
            <w:tcW w:w="3286"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sz w:val="21"/>
                <w:szCs w:val="21"/>
                <w:highlight w:val="none"/>
              </w:rPr>
              <w:t>技术培训方案：对采购方人员的技术培训方案安排科学、合理、可行</w:t>
            </w:r>
          </w:p>
        </w:tc>
        <w:tc>
          <w:tcPr>
            <w:tcW w:w="741" w:type="dxa"/>
            <w:vAlign w:val="center"/>
          </w:tcPr>
          <w:p>
            <w:pPr>
              <w:spacing w:line="240" w:lineRule="auto"/>
              <w:jc w:val="center"/>
              <w:rPr>
                <w:rFonts w:hint="eastAsia" w:ascii="宋体" w:hAnsi="宋体" w:eastAsia="宋体" w:cs="Times New Roman"/>
                <w:sz w:val="21"/>
                <w:szCs w:val="21"/>
                <w:highlight w:val="none"/>
                <w:lang w:eastAsia="zh-CN"/>
              </w:rPr>
            </w:pPr>
            <w:r>
              <w:rPr>
                <w:rFonts w:hint="eastAsia" w:ascii="宋体" w:hAnsi="宋体" w:eastAsia="宋体" w:cs="Times New Roman"/>
                <w:sz w:val="21"/>
                <w:szCs w:val="21"/>
                <w:highlight w:val="none"/>
                <w:lang w:val="en-US" w:eastAsia="zh-CN"/>
              </w:rPr>
              <w:t>6</w:t>
            </w:r>
          </w:p>
        </w:tc>
        <w:tc>
          <w:tcPr>
            <w:tcW w:w="8433"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w:t>
            </w:r>
            <w:r>
              <w:rPr>
                <w:rFonts w:hint="eastAsia" w:ascii="宋体" w:hAnsi="宋体" w:eastAsia="宋体" w:cs="Times New Roman"/>
                <w:bCs/>
                <w:sz w:val="21"/>
                <w:szCs w:val="21"/>
                <w:highlight w:val="none"/>
                <w:lang w:val="en-US" w:eastAsia="zh-CN"/>
              </w:rPr>
              <w:t>6</w:t>
            </w:r>
            <w:r>
              <w:rPr>
                <w:rFonts w:hint="eastAsia" w:ascii="宋体" w:hAnsi="宋体" w:eastAsia="宋体" w:cs="Times New Roman"/>
                <w:bCs/>
                <w:sz w:val="21"/>
                <w:szCs w:val="21"/>
                <w:highlight w:val="none"/>
              </w:rPr>
              <w:t>分，良得</w:t>
            </w:r>
            <w:r>
              <w:rPr>
                <w:rFonts w:hint="eastAsia" w:ascii="宋体" w:hAnsi="宋体" w:eastAsia="宋体" w:cs="Times New Roman"/>
                <w:bCs/>
                <w:sz w:val="21"/>
                <w:szCs w:val="21"/>
                <w:highlight w:val="none"/>
                <w:lang w:val="en-US" w:eastAsia="zh-CN"/>
              </w:rPr>
              <w:t>4</w:t>
            </w:r>
            <w:r>
              <w:rPr>
                <w:rFonts w:hint="eastAsia" w:ascii="宋体" w:hAnsi="宋体" w:eastAsia="宋体" w:cs="Times New Roman"/>
                <w:bCs/>
                <w:sz w:val="21"/>
                <w:szCs w:val="21"/>
                <w:highlight w:val="none"/>
              </w:rPr>
              <w:t>分，一般得</w:t>
            </w:r>
            <w:r>
              <w:rPr>
                <w:rFonts w:hint="eastAsia" w:ascii="宋体" w:hAnsi="宋体" w:eastAsia="宋体" w:cs="Times New Roman"/>
                <w:bCs/>
                <w:sz w:val="21"/>
                <w:szCs w:val="21"/>
                <w:highlight w:val="none"/>
                <w:lang w:val="en-US" w:eastAsia="zh-CN"/>
              </w:rPr>
              <w:t>2</w:t>
            </w:r>
            <w:r>
              <w:rPr>
                <w:rFonts w:hint="eastAsia" w:ascii="宋体" w:hAnsi="宋体" w:eastAsia="宋体" w:cs="Times New Roman"/>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73" w:type="dxa"/>
            <w:vMerge w:val="continue"/>
            <w:vAlign w:val="center"/>
          </w:tcPr>
          <w:p>
            <w:pPr>
              <w:spacing w:line="240" w:lineRule="auto"/>
              <w:jc w:val="center"/>
              <w:rPr>
                <w:rFonts w:ascii="宋体" w:hAnsi="宋体" w:eastAsia="宋体" w:cs="Times New Roman"/>
                <w:sz w:val="21"/>
                <w:szCs w:val="21"/>
                <w:highlight w:val="none"/>
              </w:rPr>
            </w:pPr>
          </w:p>
        </w:tc>
        <w:tc>
          <w:tcPr>
            <w:tcW w:w="805"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7</w:t>
            </w:r>
          </w:p>
        </w:tc>
        <w:tc>
          <w:tcPr>
            <w:tcW w:w="3286" w:type="dxa"/>
            <w:shd w:val="clear" w:color="auto" w:fill="auto"/>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bCs/>
                <w:sz w:val="21"/>
                <w:szCs w:val="21"/>
                <w:highlight w:val="none"/>
              </w:rPr>
              <w:t>投标人在中国有常驻的专业技术力量的维保机构并具有实施本项目维保的专业技术人员：</w:t>
            </w:r>
          </w:p>
        </w:tc>
        <w:tc>
          <w:tcPr>
            <w:tcW w:w="741" w:type="dxa"/>
            <w:shd w:val="clear" w:color="auto" w:fill="auto"/>
            <w:vAlign w:val="center"/>
          </w:tcPr>
          <w:p>
            <w:pPr>
              <w:spacing w:line="240" w:lineRule="auto"/>
              <w:jc w:val="center"/>
              <w:rPr>
                <w:rFonts w:hint="eastAsia" w:ascii="宋体" w:hAnsi="宋体" w:eastAsia="宋体" w:cs="Times New Roman"/>
                <w:sz w:val="21"/>
                <w:szCs w:val="21"/>
                <w:highlight w:val="none"/>
                <w:lang w:eastAsia="zh-CN"/>
              </w:rPr>
            </w:pPr>
            <w:r>
              <w:rPr>
                <w:rFonts w:hint="eastAsia" w:ascii="宋体" w:hAnsi="宋体" w:eastAsia="宋体" w:cs="Times New Roman"/>
                <w:bCs/>
                <w:sz w:val="21"/>
                <w:szCs w:val="21"/>
                <w:highlight w:val="none"/>
                <w:lang w:val="en-US" w:eastAsia="zh-CN"/>
              </w:rPr>
              <w:t>6</w:t>
            </w:r>
          </w:p>
        </w:tc>
        <w:tc>
          <w:tcPr>
            <w:tcW w:w="8433" w:type="dxa"/>
            <w:shd w:val="clear" w:color="auto" w:fill="auto"/>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w:t>
            </w:r>
            <w:r>
              <w:rPr>
                <w:rFonts w:hint="eastAsia" w:ascii="宋体" w:hAnsi="宋体" w:eastAsia="宋体" w:cs="Times New Roman"/>
                <w:bCs/>
                <w:sz w:val="21"/>
                <w:szCs w:val="21"/>
                <w:highlight w:val="none"/>
                <w:lang w:val="en-US" w:eastAsia="zh-CN"/>
              </w:rPr>
              <w:t>6</w:t>
            </w:r>
            <w:r>
              <w:rPr>
                <w:rFonts w:hint="eastAsia" w:ascii="宋体" w:hAnsi="宋体" w:eastAsia="宋体" w:cs="Times New Roman"/>
                <w:bCs/>
                <w:sz w:val="21"/>
                <w:szCs w:val="21"/>
                <w:highlight w:val="none"/>
              </w:rPr>
              <w:t>分，良得</w:t>
            </w:r>
            <w:r>
              <w:rPr>
                <w:rFonts w:hint="eastAsia" w:ascii="宋体" w:hAnsi="宋体" w:eastAsia="宋体" w:cs="Times New Roman"/>
                <w:bCs/>
                <w:sz w:val="21"/>
                <w:szCs w:val="21"/>
                <w:highlight w:val="none"/>
                <w:lang w:val="en-US" w:eastAsia="zh-CN"/>
              </w:rPr>
              <w:t>4</w:t>
            </w:r>
            <w:r>
              <w:rPr>
                <w:rFonts w:hint="eastAsia" w:ascii="宋体" w:hAnsi="宋体" w:eastAsia="宋体" w:cs="Times New Roman"/>
                <w:bCs/>
                <w:sz w:val="21"/>
                <w:szCs w:val="21"/>
                <w:highlight w:val="none"/>
              </w:rPr>
              <w:t>分，一般得</w:t>
            </w:r>
            <w:r>
              <w:rPr>
                <w:rFonts w:hint="eastAsia" w:ascii="宋体" w:hAnsi="宋体" w:eastAsia="宋体" w:cs="Times New Roman"/>
                <w:bCs/>
                <w:sz w:val="21"/>
                <w:szCs w:val="21"/>
                <w:highlight w:val="none"/>
                <w:lang w:val="en-US" w:eastAsia="zh-CN"/>
              </w:rPr>
              <w:t>2</w:t>
            </w:r>
            <w:r>
              <w:rPr>
                <w:rFonts w:hint="eastAsia" w:ascii="宋体" w:hAnsi="宋体" w:eastAsia="宋体" w:cs="Times New Roman"/>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773" w:type="dxa"/>
            <w:vMerge w:val="continue"/>
            <w:vAlign w:val="center"/>
          </w:tcPr>
          <w:p>
            <w:pPr>
              <w:spacing w:line="240" w:lineRule="auto"/>
              <w:jc w:val="center"/>
              <w:rPr>
                <w:rFonts w:ascii="宋体" w:hAnsi="宋体" w:eastAsia="宋体" w:cs="Times New Roman"/>
                <w:sz w:val="21"/>
                <w:szCs w:val="21"/>
                <w:highlight w:val="none"/>
              </w:rPr>
            </w:pPr>
          </w:p>
        </w:tc>
        <w:tc>
          <w:tcPr>
            <w:tcW w:w="805"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8</w:t>
            </w:r>
          </w:p>
        </w:tc>
        <w:tc>
          <w:tcPr>
            <w:tcW w:w="3286"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sz w:val="21"/>
                <w:szCs w:val="21"/>
                <w:highlight w:val="none"/>
              </w:rPr>
              <w:t>售后服务及时周到，有相应的服务承诺和具体的保证措施</w:t>
            </w:r>
          </w:p>
        </w:tc>
        <w:tc>
          <w:tcPr>
            <w:tcW w:w="741" w:type="dxa"/>
            <w:vAlign w:val="center"/>
          </w:tcPr>
          <w:p>
            <w:pPr>
              <w:spacing w:line="240" w:lineRule="auto"/>
              <w:jc w:val="center"/>
              <w:rPr>
                <w:rFonts w:hint="eastAsia" w:ascii="宋体" w:hAnsi="宋体" w:eastAsia="宋体" w:cs="Times New Roman"/>
                <w:sz w:val="21"/>
                <w:szCs w:val="21"/>
                <w:highlight w:val="none"/>
                <w:lang w:eastAsia="zh-CN"/>
              </w:rPr>
            </w:pPr>
            <w:r>
              <w:rPr>
                <w:rFonts w:hint="eastAsia" w:ascii="宋体" w:hAnsi="宋体" w:eastAsia="宋体" w:cs="Times New Roman"/>
                <w:sz w:val="21"/>
                <w:szCs w:val="21"/>
                <w:highlight w:val="none"/>
                <w:lang w:val="en-US" w:eastAsia="zh-CN"/>
              </w:rPr>
              <w:t>6</w:t>
            </w:r>
          </w:p>
        </w:tc>
        <w:tc>
          <w:tcPr>
            <w:tcW w:w="8433"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w:t>
            </w:r>
            <w:r>
              <w:rPr>
                <w:rFonts w:hint="eastAsia" w:ascii="宋体" w:hAnsi="宋体" w:eastAsia="宋体" w:cs="Times New Roman"/>
                <w:bCs/>
                <w:sz w:val="21"/>
                <w:szCs w:val="21"/>
                <w:highlight w:val="none"/>
                <w:lang w:val="en-US" w:eastAsia="zh-CN"/>
              </w:rPr>
              <w:t>6</w:t>
            </w:r>
            <w:r>
              <w:rPr>
                <w:rFonts w:hint="eastAsia" w:ascii="宋体" w:hAnsi="宋体" w:eastAsia="宋体" w:cs="Times New Roman"/>
                <w:bCs/>
                <w:sz w:val="21"/>
                <w:szCs w:val="21"/>
                <w:highlight w:val="none"/>
              </w:rPr>
              <w:t>分，良得</w:t>
            </w:r>
            <w:r>
              <w:rPr>
                <w:rFonts w:hint="eastAsia" w:ascii="宋体" w:hAnsi="宋体" w:eastAsia="宋体" w:cs="Times New Roman"/>
                <w:bCs/>
                <w:sz w:val="21"/>
                <w:szCs w:val="21"/>
                <w:highlight w:val="none"/>
                <w:lang w:val="en-US" w:eastAsia="zh-CN"/>
              </w:rPr>
              <w:t>4</w:t>
            </w:r>
            <w:r>
              <w:rPr>
                <w:rFonts w:hint="eastAsia" w:ascii="宋体" w:hAnsi="宋体" w:eastAsia="宋体" w:cs="Times New Roman"/>
                <w:bCs/>
                <w:sz w:val="21"/>
                <w:szCs w:val="21"/>
                <w:highlight w:val="none"/>
              </w:rPr>
              <w:t>分，一般得</w:t>
            </w:r>
            <w:r>
              <w:rPr>
                <w:rFonts w:hint="eastAsia" w:ascii="宋体" w:hAnsi="宋体" w:eastAsia="宋体" w:cs="Times New Roman"/>
                <w:bCs/>
                <w:sz w:val="21"/>
                <w:szCs w:val="21"/>
                <w:highlight w:val="none"/>
                <w:lang w:val="en-US" w:eastAsia="zh-CN"/>
              </w:rPr>
              <w:t>2</w:t>
            </w:r>
            <w:r>
              <w:rPr>
                <w:rFonts w:hint="eastAsia" w:ascii="宋体" w:hAnsi="宋体" w:eastAsia="宋体" w:cs="Times New Roman"/>
                <w:bCs/>
                <w:sz w:val="21"/>
                <w:szCs w:val="21"/>
                <w:highlight w:val="none"/>
              </w:rPr>
              <w:t>分。</w:t>
            </w:r>
          </w:p>
        </w:tc>
      </w:tr>
    </w:tbl>
    <w:p>
      <w:pPr>
        <w:pStyle w:val="2"/>
        <w:sectPr>
          <w:pgSz w:w="16838" w:h="11906" w:orient="landscape"/>
          <w:pgMar w:top="1418" w:right="1588" w:bottom="1418" w:left="1134" w:header="851" w:footer="992" w:gutter="0"/>
          <w:pgNumType w:fmt="decimal"/>
          <w:cols w:space="720" w:num="1"/>
          <w:titlePg/>
          <w:docGrid w:type="lines" w:linePitch="312" w:charSpace="0"/>
        </w:sectPr>
      </w:pPr>
    </w:p>
    <w:p>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pPr>
        <w:numPr>
          <w:ilvl w:val="0"/>
          <w:numId w:val="18"/>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2"/>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pPr>
        <w:pStyle w:val="16"/>
      </w:pP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注册过程中需注意以下信息的填写：</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snapToGrid/>
        <w:spacing w:before="0" w:after="0" w:line="240" w:lineRule="auto"/>
        <w:ind w:left="0" w:right="0" w:firstLine="0"/>
        <w:jc w:val="both"/>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业务主管部门选择“技术改造部”</w:t>
      </w:r>
      <w:r>
        <w:rPr>
          <w:rFonts w:hint="eastAsia" w:hAnsi="宋体" w:eastAsia="宋体" w:cs="宋体"/>
          <w:b/>
          <w:bCs/>
          <w:i w:val="0"/>
          <w:strike w:val="0"/>
          <w:color w:val="000000"/>
          <w:sz w:val="24"/>
          <w:szCs w:val="28"/>
          <w:highlight w:val="yellow"/>
          <w:u w:val="none"/>
          <w:lang w:val="en-US" w:eastAsia="zh-CN"/>
        </w:rPr>
        <w:t>。</w:t>
      </w:r>
    </w:p>
    <w:p>
      <w:pPr>
        <w:pStyle w:val="16"/>
        <w:sectPr>
          <w:pgSz w:w="11906" w:h="16838"/>
          <w:pgMar w:top="1588" w:right="1418" w:bottom="1134" w:left="1418" w:header="851" w:footer="992" w:gutter="0"/>
          <w:pgNumType w:fmt="decimal"/>
          <w:cols w:space="720" w:num="1"/>
          <w:titlePg/>
          <w:docGrid w:type="lines" w:linePitch="312" w:charSpace="0"/>
        </w:sectPr>
      </w:pPr>
    </w:p>
    <w:p>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w:panose1 w:val="02010601000101010101"/>
    <w:charset w:val="88"/>
    <w:family w:val="roma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6">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517A6AF3"/>
    <w:multiLevelType w:val="multilevel"/>
    <w:tmpl w:val="517A6AF3"/>
    <w:lvl w:ilvl="0" w:tentative="0">
      <w:start w:val="6"/>
      <w:numFmt w:val="decimal"/>
      <w:lvlText w:val="(%1)"/>
      <w:lvlJc w:val="left"/>
      <w:pPr>
        <w:tabs>
          <w:tab w:val="left" w:pos="390"/>
        </w:tabs>
        <w:ind w:left="390" w:hanging="390"/>
      </w:pPr>
      <w:rPr>
        <w:rFonts w:hint="default"/>
        <w:b/>
      </w:rPr>
    </w:lvl>
    <w:lvl w:ilvl="1" w:tentative="0">
      <w:start w:val="1"/>
      <w:numFmt w:val="lowerLetter"/>
      <w:lvlText w:val="%2)"/>
      <w:lvlJc w:val="left"/>
      <w:pPr>
        <w:tabs>
          <w:tab w:val="left" w:pos="840"/>
        </w:tabs>
        <w:ind w:left="840" w:hanging="420"/>
      </w:pPr>
      <w:rPr>
        <w:rFonts w:hint="default"/>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36B406B"/>
    <w:multiLevelType w:val="singleLevel"/>
    <w:tmpl w:val="736B406B"/>
    <w:lvl w:ilvl="0" w:tentative="0">
      <w:start w:val="5"/>
      <w:numFmt w:val="decimal"/>
      <w:lvlText w:val="%1."/>
      <w:lvlJc w:val="left"/>
      <w:pPr>
        <w:tabs>
          <w:tab w:val="left" w:pos="312"/>
        </w:tabs>
      </w:pPr>
    </w:lvl>
  </w:abstractNum>
  <w:abstractNum w:abstractNumId="17">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5"/>
  </w:num>
  <w:num w:numId="2">
    <w:abstractNumId w:val="0"/>
  </w:num>
  <w:num w:numId="3">
    <w:abstractNumId w:val="7"/>
  </w:num>
  <w:num w:numId="4">
    <w:abstractNumId w:val="3"/>
  </w:num>
  <w:num w:numId="5">
    <w:abstractNumId w:val="10"/>
  </w:num>
  <w:num w:numId="6">
    <w:abstractNumId w:val="1"/>
  </w:num>
  <w:num w:numId="7">
    <w:abstractNumId w:val="8"/>
  </w:num>
  <w:num w:numId="8">
    <w:abstractNumId w:val="12"/>
  </w:num>
  <w:num w:numId="9">
    <w:abstractNumId w:val="6"/>
  </w:num>
  <w:num w:numId="10">
    <w:abstractNumId w:val="17"/>
  </w:num>
  <w:num w:numId="11">
    <w:abstractNumId w:val="5"/>
  </w:num>
  <w:num w:numId="12">
    <w:abstractNumId w:val="13"/>
  </w:num>
  <w:num w:numId="13">
    <w:abstractNumId w:val="4"/>
  </w:num>
  <w:num w:numId="14">
    <w:abstractNumId w:val="14"/>
  </w:num>
  <w:num w:numId="15">
    <w:abstractNumId w:val="11"/>
  </w:num>
  <w:num w:numId="16">
    <w:abstractNumId w:val="2"/>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6248A"/>
    <w:rsid w:val="00B72516"/>
    <w:rsid w:val="00B92C97"/>
    <w:rsid w:val="00BA3C70"/>
    <w:rsid w:val="00BB4E42"/>
    <w:rsid w:val="00BD533C"/>
    <w:rsid w:val="00C01073"/>
    <w:rsid w:val="00C855F6"/>
    <w:rsid w:val="00C92F53"/>
    <w:rsid w:val="00CD4002"/>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2D2227"/>
    <w:rsid w:val="014832F2"/>
    <w:rsid w:val="014D51C1"/>
    <w:rsid w:val="01C43A72"/>
    <w:rsid w:val="01C52478"/>
    <w:rsid w:val="020D0CB3"/>
    <w:rsid w:val="0240504A"/>
    <w:rsid w:val="027408EE"/>
    <w:rsid w:val="02963F39"/>
    <w:rsid w:val="02BA7274"/>
    <w:rsid w:val="03251978"/>
    <w:rsid w:val="0325718A"/>
    <w:rsid w:val="033B3B43"/>
    <w:rsid w:val="03545DBF"/>
    <w:rsid w:val="03BA08C7"/>
    <w:rsid w:val="042921B6"/>
    <w:rsid w:val="04516091"/>
    <w:rsid w:val="04AD02B8"/>
    <w:rsid w:val="04D237BC"/>
    <w:rsid w:val="04DF17D4"/>
    <w:rsid w:val="050140F6"/>
    <w:rsid w:val="05412745"/>
    <w:rsid w:val="05491761"/>
    <w:rsid w:val="05A351AD"/>
    <w:rsid w:val="05AA653C"/>
    <w:rsid w:val="05F9748A"/>
    <w:rsid w:val="0624009C"/>
    <w:rsid w:val="06266F78"/>
    <w:rsid w:val="063E7B7A"/>
    <w:rsid w:val="06582413"/>
    <w:rsid w:val="067E33B8"/>
    <w:rsid w:val="068C3AD4"/>
    <w:rsid w:val="06D118A6"/>
    <w:rsid w:val="06E82FCB"/>
    <w:rsid w:val="06F34B95"/>
    <w:rsid w:val="07106873"/>
    <w:rsid w:val="07571DAC"/>
    <w:rsid w:val="077208FB"/>
    <w:rsid w:val="07BE7CD4"/>
    <w:rsid w:val="08E64121"/>
    <w:rsid w:val="0942017F"/>
    <w:rsid w:val="09A3345C"/>
    <w:rsid w:val="09BA1FBB"/>
    <w:rsid w:val="09C120A6"/>
    <w:rsid w:val="09CB139F"/>
    <w:rsid w:val="0A0106F5"/>
    <w:rsid w:val="0A112AB7"/>
    <w:rsid w:val="0AD71BC7"/>
    <w:rsid w:val="0AF420EB"/>
    <w:rsid w:val="0B2B2BF5"/>
    <w:rsid w:val="0B2F3908"/>
    <w:rsid w:val="0B3F6206"/>
    <w:rsid w:val="0BE12DB6"/>
    <w:rsid w:val="0BF51E57"/>
    <w:rsid w:val="0C365707"/>
    <w:rsid w:val="0C626CE4"/>
    <w:rsid w:val="0D0C2B7B"/>
    <w:rsid w:val="0D9308F8"/>
    <w:rsid w:val="0E1A1D85"/>
    <w:rsid w:val="0E2A5FDD"/>
    <w:rsid w:val="0E750568"/>
    <w:rsid w:val="0E8E053E"/>
    <w:rsid w:val="0F2D7A80"/>
    <w:rsid w:val="0F4277E5"/>
    <w:rsid w:val="0FA75561"/>
    <w:rsid w:val="0FB83603"/>
    <w:rsid w:val="0FCA77F1"/>
    <w:rsid w:val="10270545"/>
    <w:rsid w:val="103539E9"/>
    <w:rsid w:val="108A1D4B"/>
    <w:rsid w:val="1099001F"/>
    <w:rsid w:val="10A10111"/>
    <w:rsid w:val="10A3562E"/>
    <w:rsid w:val="10BE093E"/>
    <w:rsid w:val="10F74CB7"/>
    <w:rsid w:val="111B0FE9"/>
    <w:rsid w:val="115F67A8"/>
    <w:rsid w:val="119A7465"/>
    <w:rsid w:val="11C07DA5"/>
    <w:rsid w:val="11F76665"/>
    <w:rsid w:val="12491386"/>
    <w:rsid w:val="129F2533"/>
    <w:rsid w:val="12BE53D5"/>
    <w:rsid w:val="12E60579"/>
    <w:rsid w:val="1359597C"/>
    <w:rsid w:val="13695B36"/>
    <w:rsid w:val="1372609F"/>
    <w:rsid w:val="13BA3B64"/>
    <w:rsid w:val="145A6A37"/>
    <w:rsid w:val="1467440F"/>
    <w:rsid w:val="147831AA"/>
    <w:rsid w:val="15433A9B"/>
    <w:rsid w:val="15A71F89"/>
    <w:rsid w:val="15FC2F04"/>
    <w:rsid w:val="16181FAC"/>
    <w:rsid w:val="16750AB1"/>
    <w:rsid w:val="168756A0"/>
    <w:rsid w:val="16D276A1"/>
    <w:rsid w:val="16F94849"/>
    <w:rsid w:val="17045E51"/>
    <w:rsid w:val="172011D4"/>
    <w:rsid w:val="17252C3B"/>
    <w:rsid w:val="173F0A2E"/>
    <w:rsid w:val="174C68ED"/>
    <w:rsid w:val="17770BC2"/>
    <w:rsid w:val="17A119AA"/>
    <w:rsid w:val="17F43647"/>
    <w:rsid w:val="18480522"/>
    <w:rsid w:val="18586F2B"/>
    <w:rsid w:val="18FF4051"/>
    <w:rsid w:val="194D1260"/>
    <w:rsid w:val="19A766B9"/>
    <w:rsid w:val="19C57049"/>
    <w:rsid w:val="19CE76BA"/>
    <w:rsid w:val="19F26070"/>
    <w:rsid w:val="19FF46E1"/>
    <w:rsid w:val="1A1523CE"/>
    <w:rsid w:val="1AA730BD"/>
    <w:rsid w:val="1B264783"/>
    <w:rsid w:val="1B333D5D"/>
    <w:rsid w:val="1B587618"/>
    <w:rsid w:val="1B5F19C7"/>
    <w:rsid w:val="1BB17D1D"/>
    <w:rsid w:val="1BFE2C95"/>
    <w:rsid w:val="1C1C709B"/>
    <w:rsid w:val="1D5C514E"/>
    <w:rsid w:val="1D865D14"/>
    <w:rsid w:val="1D8705EC"/>
    <w:rsid w:val="1E01086B"/>
    <w:rsid w:val="1E43150B"/>
    <w:rsid w:val="1EA93E80"/>
    <w:rsid w:val="1ED33FB6"/>
    <w:rsid w:val="1EE81332"/>
    <w:rsid w:val="1F32415A"/>
    <w:rsid w:val="1F4719E1"/>
    <w:rsid w:val="1FC55BA1"/>
    <w:rsid w:val="1FDF698A"/>
    <w:rsid w:val="20107567"/>
    <w:rsid w:val="20322F5E"/>
    <w:rsid w:val="20AB56C6"/>
    <w:rsid w:val="21104A68"/>
    <w:rsid w:val="21167382"/>
    <w:rsid w:val="21602B55"/>
    <w:rsid w:val="2176507C"/>
    <w:rsid w:val="217F0425"/>
    <w:rsid w:val="21BE35AF"/>
    <w:rsid w:val="21C11174"/>
    <w:rsid w:val="22244B28"/>
    <w:rsid w:val="22467FD4"/>
    <w:rsid w:val="228F2E74"/>
    <w:rsid w:val="229451FD"/>
    <w:rsid w:val="22A12DB6"/>
    <w:rsid w:val="22BC5EBB"/>
    <w:rsid w:val="23C962E8"/>
    <w:rsid w:val="247E4FED"/>
    <w:rsid w:val="24B30BE8"/>
    <w:rsid w:val="24E34060"/>
    <w:rsid w:val="253A0491"/>
    <w:rsid w:val="253F1216"/>
    <w:rsid w:val="25E036B2"/>
    <w:rsid w:val="25E9082A"/>
    <w:rsid w:val="25F42473"/>
    <w:rsid w:val="25F47425"/>
    <w:rsid w:val="26AF2D79"/>
    <w:rsid w:val="26B34B91"/>
    <w:rsid w:val="270D66E8"/>
    <w:rsid w:val="278B0DAB"/>
    <w:rsid w:val="27A64735"/>
    <w:rsid w:val="27CC4DF2"/>
    <w:rsid w:val="27ED433A"/>
    <w:rsid w:val="27FF73A0"/>
    <w:rsid w:val="281864F2"/>
    <w:rsid w:val="286903EF"/>
    <w:rsid w:val="287F5DD3"/>
    <w:rsid w:val="288047CB"/>
    <w:rsid w:val="289E62FA"/>
    <w:rsid w:val="2916410F"/>
    <w:rsid w:val="291E2CA6"/>
    <w:rsid w:val="29331862"/>
    <w:rsid w:val="295245B5"/>
    <w:rsid w:val="29763DAA"/>
    <w:rsid w:val="299E147F"/>
    <w:rsid w:val="29CF26DC"/>
    <w:rsid w:val="29E51041"/>
    <w:rsid w:val="2A1C5DA0"/>
    <w:rsid w:val="2A200D39"/>
    <w:rsid w:val="2A507EFF"/>
    <w:rsid w:val="2ABF3E12"/>
    <w:rsid w:val="2ADC05A4"/>
    <w:rsid w:val="2B6F0D7F"/>
    <w:rsid w:val="2B8716BD"/>
    <w:rsid w:val="2D025012"/>
    <w:rsid w:val="2D265BF9"/>
    <w:rsid w:val="2D4178F0"/>
    <w:rsid w:val="2DAE631A"/>
    <w:rsid w:val="2DD877E0"/>
    <w:rsid w:val="2DE616C9"/>
    <w:rsid w:val="2DFC2451"/>
    <w:rsid w:val="2E6E566D"/>
    <w:rsid w:val="2E7F188E"/>
    <w:rsid w:val="2E8B1366"/>
    <w:rsid w:val="2EBC0905"/>
    <w:rsid w:val="2EC73739"/>
    <w:rsid w:val="2F5C684F"/>
    <w:rsid w:val="2F6B3D97"/>
    <w:rsid w:val="3006424D"/>
    <w:rsid w:val="307776D1"/>
    <w:rsid w:val="30862574"/>
    <w:rsid w:val="30B631E1"/>
    <w:rsid w:val="311933AA"/>
    <w:rsid w:val="317D15BB"/>
    <w:rsid w:val="31D07E6C"/>
    <w:rsid w:val="323F65DA"/>
    <w:rsid w:val="32412074"/>
    <w:rsid w:val="32BB5035"/>
    <w:rsid w:val="32DE0199"/>
    <w:rsid w:val="335B2774"/>
    <w:rsid w:val="33A4642E"/>
    <w:rsid w:val="33D4039C"/>
    <w:rsid w:val="33D47E05"/>
    <w:rsid w:val="3413677D"/>
    <w:rsid w:val="342B544B"/>
    <w:rsid w:val="34306C88"/>
    <w:rsid w:val="349A7C69"/>
    <w:rsid w:val="34C06413"/>
    <w:rsid w:val="34DE1E4F"/>
    <w:rsid w:val="34F07DB1"/>
    <w:rsid w:val="35103C31"/>
    <w:rsid w:val="35B2048C"/>
    <w:rsid w:val="35D354B8"/>
    <w:rsid w:val="35D4025C"/>
    <w:rsid w:val="362666BC"/>
    <w:rsid w:val="367B5207"/>
    <w:rsid w:val="368A6B11"/>
    <w:rsid w:val="37085B1F"/>
    <w:rsid w:val="372E04CB"/>
    <w:rsid w:val="376D5869"/>
    <w:rsid w:val="37FC02B4"/>
    <w:rsid w:val="390D33AB"/>
    <w:rsid w:val="391E6D06"/>
    <w:rsid w:val="39665CFB"/>
    <w:rsid w:val="398D328E"/>
    <w:rsid w:val="39900E42"/>
    <w:rsid w:val="39A736F9"/>
    <w:rsid w:val="3A074847"/>
    <w:rsid w:val="3A1E3B1B"/>
    <w:rsid w:val="3A7A7584"/>
    <w:rsid w:val="3A942275"/>
    <w:rsid w:val="3AA90FE6"/>
    <w:rsid w:val="3AA9318F"/>
    <w:rsid w:val="3AB62DA0"/>
    <w:rsid w:val="3B7D3FD5"/>
    <w:rsid w:val="3B823DDF"/>
    <w:rsid w:val="3C096E11"/>
    <w:rsid w:val="3C237ED3"/>
    <w:rsid w:val="3CAA596A"/>
    <w:rsid w:val="3CB1587B"/>
    <w:rsid w:val="3CB735F2"/>
    <w:rsid w:val="3D0F48FB"/>
    <w:rsid w:val="3D186684"/>
    <w:rsid w:val="3D8B2178"/>
    <w:rsid w:val="3D934BE4"/>
    <w:rsid w:val="3DA32BB0"/>
    <w:rsid w:val="3DD115F5"/>
    <w:rsid w:val="3DE435F0"/>
    <w:rsid w:val="3DE5122C"/>
    <w:rsid w:val="3DEC2546"/>
    <w:rsid w:val="3DF37E53"/>
    <w:rsid w:val="3E693B97"/>
    <w:rsid w:val="3E70709A"/>
    <w:rsid w:val="3ED26DE9"/>
    <w:rsid w:val="3EED17D0"/>
    <w:rsid w:val="3F0C0304"/>
    <w:rsid w:val="3FEC147E"/>
    <w:rsid w:val="401069C0"/>
    <w:rsid w:val="40376375"/>
    <w:rsid w:val="406C796F"/>
    <w:rsid w:val="412732B7"/>
    <w:rsid w:val="4127791F"/>
    <w:rsid w:val="41281794"/>
    <w:rsid w:val="412F4864"/>
    <w:rsid w:val="413C1FDF"/>
    <w:rsid w:val="41831414"/>
    <w:rsid w:val="41B0259C"/>
    <w:rsid w:val="41BC6F1C"/>
    <w:rsid w:val="41C55588"/>
    <w:rsid w:val="41EF2363"/>
    <w:rsid w:val="41F77860"/>
    <w:rsid w:val="421A2C99"/>
    <w:rsid w:val="42323A7F"/>
    <w:rsid w:val="424A4B98"/>
    <w:rsid w:val="42581D3A"/>
    <w:rsid w:val="42FE0080"/>
    <w:rsid w:val="431467C7"/>
    <w:rsid w:val="43315D2E"/>
    <w:rsid w:val="43824A1C"/>
    <w:rsid w:val="43D110E1"/>
    <w:rsid w:val="43E873C9"/>
    <w:rsid w:val="44905B1F"/>
    <w:rsid w:val="44AA3994"/>
    <w:rsid w:val="451231DA"/>
    <w:rsid w:val="45316885"/>
    <w:rsid w:val="45822F17"/>
    <w:rsid w:val="45A95EE9"/>
    <w:rsid w:val="45FB0F21"/>
    <w:rsid w:val="46DE3C8A"/>
    <w:rsid w:val="47200EE3"/>
    <w:rsid w:val="472753AE"/>
    <w:rsid w:val="47435AC2"/>
    <w:rsid w:val="47544B78"/>
    <w:rsid w:val="47587AF7"/>
    <w:rsid w:val="47745A86"/>
    <w:rsid w:val="47E239AC"/>
    <w:rsid w:val="47E81FD1"/>
    <w:rsid w:val="48090C6F"/>
    <w:rsid w:val="480F4B73"/>
    <w:rsid w:val="48DB38E3"/>
    <w:rsid w:val="48DD0A15"/>
    <w:rsid w:val="49001B5E"/>
    <w:rsid w:val="49376DB0"/>
    <w:rsid w:val="49804BB7"/>
    <w:rsid w:val="49826DCB"/>
    <w:rsid w:val="499013E7"/>
    <w:rsid w:val="49C8088A"/>
    <w:rsid w:val="4A301C93"/>
    <w:rsid w:val="4A3302AB"/>
    <w:rsid w:val="4AC85D49"/>
    <w:rsid w:val="4AE308A9"/>
    <w:rsid w:val="4B9A1456"/>
    <w:rsid w:val="4BA32C82"/>
    <w:rsid w:val="4BE70627"/>
    <w:rsid w:val="4C0A5AE1"/>
    <w:rsid w:val="4C130AB8"/>
    <w:rsid w:val="4C341C88"/>
    <w:rsid w:val="4C5A284D"/>
    <w:rsid w:val="4CB96B43"/>
    <w:rsid w:val="4CD63947"/>
    <w:rsid w:val="4CFC49F4"/>
    <w:rsid w:val="4D073D73"/>
    <w:rsid w:val="4D1E27BA"/>
    <w:rsid w:val="4D23574A"/>
    <w:rsid w:val="4D4C4DB0"/>
    <w:rsid w:val="4D7322D5"/>
    <w:rsid w:val="4DD7034C"/>
    <w:rsid w:val="4DE312CB"/>
    <w:rsid w:val="4E127DA7"/>
    <w:rsid w:val="4E1F4862"/>
    <w:rsid w:val="4E2E4393"/>
    <w:rsid w:val="4E535EF2"/>
    <w:rsid w:val="4E604FB7"/>
    <w:rsid w:val="4EAA19A9"/>
    <w:rsid w:val="4EFD0A57"/>
    <w:rsid w:val="4F08773C"/>
    <w:rsid w:val="4F31409F"/>
    <w:rsid w:val="4F846A83"/>
    <w:rsid w:val="4FA90297"/>
    <w:rsid w:val="50070E2C"/>
    <w:rsid w:val="504B57F2"/>
    <w:rsid w:val="50C62BC7"/>
    <w:rsid w:val="50E65BBF"/>
    <w:rsid w:val="50ED1473"/>
    <w:rsid w:val="50F72A66"/>
    <w:rsid w:val="511F2F07"/>
    <w:rsid w:val="5123368C"/>
    <w:rsid w:val="5130747C"/>
    <w:rsid w:val="515C765A"/>
    <w:rsid w:val="51905BB3"/>
    <w:rsid w:val="51946FCB"/>
    <w:rsid w:val="51DD796B"/>
    <w:rsid w:val="51DF373B"/>
    <w:rsid w:val="51F43C48"/>
    <w:rsid w:val="523E560F"/>
    <w:rsid w:val="52EF4CB5"/>
    <w:rsid w:val="52F959F0"/>
    <w:rsid w:val="5302488E"/>
    <w:rsid w:val="539A4AC7"/>
    <w:rsid w:val="539C282C"/>
    <w:rsid w:val="54672CD7"/>
    <w:rsid w:val="54A61722"/>
    <w:rsid w:val="54B31FAF"/>
    <w:rsid w:val="55326D63"/>
    <w:rsid w:val="55365085"/>
    <w:rsid w:val="5550794C"/>
    <w:rsid w:val="555D1A10"/>
    <w:rsid w:val="56356469"/>
    <w:rsid w:val="56AC4A78"/>
    <w:rsid w:val="56DB16B9"/>
    <w:rsid w:val="577A3463"/>
    <w:rsid w:val="57F967AD"/>
    <w:rsid w:val="58052975"/>
    <w:rsid w:val="58E525CA"/>
    <w:rsid w:val="58F72073"/>
    <w:rsid w:val="593D045A"/>
    <w:rsid w:val="5960739E"/>
    <w:rsid w:val="59896D0A"/>
    <w:rsid w:val="59B72684"/>
    <w:rsid w:val="5A8D7BA5"/>
    <w:rsid w:val="5A9579AE"/>
    <w:rsid w:val="5AC468CD"/>
    <w:rsid w:val="5B342B9A"/>
    <w:rsid w:val="5B630802"/>
    <w:rsid w:val="5B807F68"/>
    <w:rsid w:val="5B961168"/>
    <w:rsid w:val="5C034D53"/>
    <w:rsid w:val="5CA36CB7"/>
    <w:rsid w:val="5D342241"/>
    <w:rsid w:val="5E1D6F56"/>
    <w:rsid w:val="5E52187F"/>
    <w:rsid w:val="5E6A13CD"/>
    <w:rsid w:val="5E705D15"/>
    <w:rsid w:val="5E93326C"/>
    <w:rsid w:val="5EFB4BA4"/>
    <w:rsid w:val="5F5F46B5"/>
    <w:rsid w:val="5FA12D39"/>
    <w:rsid w:val="5FBA3CC0"/>
    <w:rsid w:val="5FD90D61"/>
    <w:rsid w:val="600B5A81"/>
    <w:rsid w:val="60177697"/>
    <w:rsid w:val="602329DB"/>
    <w:rsid w:val="607777D6"/>
    <w:rsid w:val="60BC76A1"/>
    <w:rsid w:val="610B7637"/>
    <w:rsid w:val="61520696"/>
    <w:rsid w:val="615F5624"/>
    <w:rsid w:val="61D215CF"/>
    <w:rsid w:val="62546789"/>
    <w:rsid w:val="625C563D"/>
    <w:rsid w:val="626A1704"/>
    <w:rsid w:val="62B362C8"/>
    <w:rsid w:val="62C1330E"/>
    <w:rsid w:val="631A1780"/>
    <w:rsid w:val="6342085E"/>
    <w:rsid w:val="63631E53"/>
    <w:rsid w:val="636F415C"/>
    <w:rsid w:val="646E3CD1"/>
    <w:rsid w:val="64786E14"/>
    <w:rsid w:val="648D0CC2"/>
    <w:rsid w:val="64917820"/>
    <w:rsid w:val="64AA1CC5"/>
    <w:rsid w:val="65463A24"/>
    <w:rsid w:val="656B2909"/>
    <w:rsid w:val="65A3045D"/>
    <w:rsid w:val="65D97752"/>
    <w:rsid w:val="65E25E59"/>
    <w:rsid w:val="66307F76"/>
    <w:rsid w:val="66395DD6"/>
    <w:rsid w:val="66580EAF"/>
    <w:rsid w:val="66694D0D"/>
    <w:rsid w:val="66C00C35"/>
    <w:rsid w:val="66F041A8"/>
    <w:rsid w:val="6721178A"/>
    <w:rsid w:val="6739399A"/>
    <w:rsid w:val="673F39DE"/>
    <w:rsid w:val="674C5D22"/>
    <w:rsid w:val="67663AF8"/>
    <w:rsid w:val="67762CFD"/>
    <w:rsid w:val="677A678D"/>
    <w:rsid w:val="67AA61B4"/>
    <w:rsid w:val="68011379"/>
    <w:rsid w:val="68252C37"/>
    <w:rsid w:val="68264723"/>
    <w:rsid w:val="685E210F"/>
    <w:rsid w:val="68817BAC"/>
    <w:rsid w:val="689A5E59"/>
    <w:rsid w:val="68EE72DF"/>
    <w:rsid w:val="69485FEA"/>
    <w:rsid w:val="69677DC0"/>
    <w:rsid w:val="69937EC7"/>
    <w:rsid w:val="69D64558"/>
    <w:rsid w:val="6A042548"/>
    <w:rsid w:val="6A471EFD"/>
    <w:rsid w:val="6A652B72"/>
    <w:rsid w:val="6A761055"/>
    <w:rsid w:val="6AB57116"/>
    <w:rsid w:val="6B17424A"/>
    <w:rsid w:val="6B2218FA"/>
    <w:rsid w:val="6B5E00AD"/>
    <w:rsid w:val="6B691672"/>
    <w:rsid w:val="6B767770"/>
    <w:rsid w:val="6B944C38"/>
    <w:rsid w:val="6BE61A07"/>
    <w:rsid w:val="6C5E6A51"/>
    <w:rsid w:val="6C6513C3"/>
    <w:rsid w:val="6C744268"/>
    <w:rsid w:val="6CAB788B"/>
    <w:rsid w:val="6CD62D03"/>
    <w:rsid w:val="6CD97FB6"/>
    <w:rsid w:val="6D0A2952"/>
    <w:rsid w:val="6D2B6338"/>
    <w:rsid w:val="6D390A55"/>
    <w:rsid w:val="6D6F26C8"/>
    <w:rsid w:val="6D930013"/>
    <w:rsid w:val="6DBE0F5A"/>
    <w:rsid w:val="6E1A1656"/>
    <w:rsid w:val="6E5024FA"/>
    <w:rsid w:val="6E5A5288"/>
    <w:rsid w:val="6E91666F"/>
    <w:rsid w:val="6E942996"/>
    <w:rsid w:val="6EE013EE"/>
    <w:rsid w:val="6EE079F1"/>
    <w:rsid w:val="6EE42C42"/>
    <w:rsid w:val="6F7F7CB0"/>
    <w:rsid w:val="6FC30AAA"/>
    <w:rsid w:val="6FE0165C"/>
    <w:rsid w:val="6FEA4288"/>
    <w:rsid w:val="70222744"/>
    <w:rsid w:val="706D2B21"/>
    <w:rsid w:val="707B1384"/>
    <w:rsid w:val="70857A34"/>
    <w:rsid w:val="70985D3C"/>
    <w:rsid w:val="71047C73"/>
    <w:rsid w:val="7109004F"/>
    <w:rsid w:val="71103167"/>
    <w:rsid w:val="71202C27"/>
    <w:rsid w:val="712E56F7"/>
    <w:rsid w:val="71691ABB"/>
    <w:rsid w:val="71940C0B"/>
    <w:rsid w:val="71AE1AEA"/>
    <w:rsid w:val="71CF3B6C"/>
    <w:rsid w:val="722922C6"/>
    <w:rsid w:val="72C54B39"/>
    <w:rsid w:val="72DD6326"/>
    <w:rsid w:val="732D4B5D"/>
    <w:rsid w:val="73393C88"/>
    <w:rsid w:val="73612AB3"/>
    <w:rsid w:val="7362513F"/>
    <w:rsid w:val="73771D49"/>
    <w:rsid w:val="73A1354E"/>
    <w:rsid w:val="73A63AAE"/>
    <w:rsid w:val="73C60297"/>
    <w:rsid w:val="73DA46A8"/>
    <w:rsid w:val="747E3B9D"/>
    <w:rsid w:val="74880318"/>
    <w:rsid w:val="74A11E7D"/>
    <w:rsid w:val="75590B0A"/>
    <w:rsid w:val="7582279F"/>
    <w:rsid w:val="75BB71AF"/>
    <w:rsid w:val="75F01962"/>
    <w:rsid w:val="75F56562"/>
    <w:rsid w:val="7601232C"/>
    <w:rsid w:val="760E19DF"/>
    <w:rsid w:val="765D721E"/>
    <w:rsid w:val="76676A53"/>
    <w:rsid w:val="76B620A1"/>
    <w:rsid w:val="77462524"/>
    <w:rsid w:val="779C40BA"/>
    <w:rsid w:val="77A21064"/>
    <w:rsid w:val="77E34EB2"/>
    <w:rsid w:val="781564B8"/>
    <w:rsid w:val="78224ACF"/>
    <w:rsid w:val="786170B2"/>
    <w:rsid w:val="78CD6DCC"/>
    <w:rsid w:val="78D07CAF"/>
    <w:rsid w:val="78DE12D7"/>
    <w:rsid w:val="791D122B"/>
    <w:rsid w:val="79210683"/>
    <w:rsid w:val="799C3465"/>
    <w:rsid w:val="79B14EC4"/>
    <w:rsid w:val="79B46E76"/>
    <w:rsid w:val="7A2A6B4A"/>
    <w:rsid w:val="7A3769CD"/>
    <w:rsid w:val="7A666C01"/>
    <w:rsid w:val="7A681070"/>
    <w:rsid w:val="7A860C7C"/>
    <w:rsid w:val="7AB879FE"/>
    <w:rsid w:val="7B15660A"/>
    <w:rsid w:val="7B167D97"/>
    <w:rsid w:val="7B3264DD"/>
    <w:rsid w:val="7B81188A"/>
    <w:rsid w:val="7B9E2902"/>
    <w:rsid w:val="7BC854E2"/>
    <w:rsid w:val="7BF821B5"/>
    <w:rsid w:val="7C0562EC"/>
    <w:rsid w:val="7C27683F"/>
    <w:rsid w:val="7C376AA7"/>
    <w:rsid w:val="7C865339"/>
    <w:rsid w:val="7CB14B4D"/>
    <w:rsid w:val="7CD25041"/>
    <w:rsid w:val="7CEF7382"/>
    <w:rsid w:val="7CF26969"/>
    <w:rsid w:val="7D8C7017"/>
    <w:rsid w:val="7DB23041"/>
    <w:rsid w:val="7E5F7809"/>
    <w:rsid w:val="7ED56C53"/>
    <w:rsid w:val="7EEA1BAF"/>
    <w:rsid w:val="7F263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header" Target="header6.xml"/><Relationship Id="rId35" Type="http://schemas.openxmlformats.org/officeDocument/2006/relationships/header" Target="header5.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99</Pages>
  <Words>49679</Words>
  <Characters>76601</Characters>
  <Lines>305</Lines>
  <Paragraphs>86</Paragraphs>
  <TotalTime>4</TotalTime>
  <ScaleCrop>false</ScaleCrop>
  <LinksUpToDate>false</LinksUpToDate>
  <CharactersWithSpaces>88947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2023-08-21T01:54:30Z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0860BC0084F04CC0BC5F2DFA62BABEFB</vt:lpwstr>
  </property>
</Properties>
</file>