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hint="eastAsia" w:ascii="Calibri" w:hAnsi="宋体" w:eastAsia="宋体" w:cs="Times New Roman"/>
          <w:b/>
          <w:bCs/>
          <w:color w:val="000000"/>
          <w:spacing w:val="-8"/>
          <w:sz w:val="52"/>
          <w:szCs w:val="52"/>
          <w:lang w:eastAsia="zh-CN"/>
        </w:rPr>
      </w:pPr>
      <w:r>
        <w:rPr>
          <w:rFonts w:hint="eastAsia" w:ascii="Calibri" w:hAnsi="宋体" w:eastAsia="宋体" w:cs="Times New Roman"/>
          <w:b/>
          <w:bCs/>
          <w:color w:val="000000"/>
          <w:spacing w:val="-8"/>
          <w:sz w:val="52"/>
          <w:szCs w:val="52"/>
          <w:lang w:eastAsia="zh-CN"/>
        </w:rPr>
        <w:t>重汽（济南）轻卡有限公司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52"/>
          <w:szCs w:val="52"/>
        </w:rPr>
        <w:t xml:space="preserve"> </w:t>
      </w:r>
      <w:r>
        <w:rPr>
          <w:rFonts w:hint="eastAsia" w:ascii="Calibri" w:hAnsi="宋体" w:eastAsia="宋体" w:cs="Times New Roman"/>
          <w:b/>
          <w:bCs/>
          <w:color w:val="000000"/>
          <w:spacing w:val="-8"/>
          <w:sz w:val="52"/>
          <w:szCs w:val="52"/>
          <w:lang w:val="en-US" w:eastAsia="zh-CN"/>
        </w:rPr>
        <w:t>定值拧紧设备</w:t>
      </w:r>
      <w:r>
        <w:rPr>
          <w:rFonts w:hint="eastAsia" w:ascii="Calibri" w:hAnsi="宋体" w:eastAsia="宋体" w:cs="Times New Roman"/>
          <w:b/>
          <w:bCs/>
          <w:color w:val="000000"/>
          <w:spacing w:val="-8"/>
          <w:sz w:val="52"/>
          <w:szCs w:val="52"/>
          <w:highlight w:val="none"/>
          <w:lang w:eastAsia="zh-CN"/>
        </w:rPr>
        <w:t>项目</w:t>
      </w:r>
    </w:p>
    <w:p>
      <w:pPr>
        <w:spacing w:line="276" w:lineRule="auto"/>
        <w:jc w:val="center"/>
        <w:rPr>
          <w:rFonts w:hint="default" w:ascii="Calibri" w:hAnsi="宋体" w:eastAsia="宋体" w:cs="Times New Roman"/>
          <w:b/>
          <w:bCs/>
          <w:color w:val="000000"/>
          <w:spacing w:val="-8"/>
          <w:kern w:val="2"/>
          <w:sz w:val="72"/>
          <w:szCs w:val="72"/>
          <w:lang w:val="en-US" w:eastAsia="zh-CN" w:bidi="ar-SA"/>
        </w:rPr>
      </w:pPr>
    </w:p>
    <w:p>
      <w:pPr>
        <w:pStyle w:val="17"/>
        <w:rPr>
          <w:rFonts w:hint="eastAsia"/>
          <w:lang w:eastAsia="zh-CN"/>
        </w:rPr>
      </w:pPr>
    </w:p>
    <w:p>
      <w:pPr>
        <w:pStyle w:val="17"/>
        <w:rPr>
          <w:rFonts w:hint="eastAsia"/>
          <w:lang w:eastAsia="zh-CN"/>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sz w:val="32"/>
          <w:szCs w:val="28"/>
        </w:rPr>
      </w:pPr>
    </w:p>
    <w:p>
      <w:pPr>
        <w:pStyle w:val="17"/>
        <w:rPr>
          <w:b/>
          <w:bCs/>
        </w:rPr>
      </w:pPr>
    </w:p>
    <w:p>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重汽（济南）轻卡有限公司</w:t>
      </w:r>
    </w:p>
    <w:p>
      <w:pPr>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202</w:t>
      </w: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rPr>
        <w:t>年</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月</w:t>
      </w:r>
    </w:p>
    <w:p>
      <w:pPr>
        <w:keepNext/>
        <w:keepLines/>
        <w:jc w:val="center"/>
        <w:rPr>
          <w:rFonts w:hint="eastAsia" w:ascii="宋体" w:hAnsi="宋体" w:eastAsia="宋体" w:cs="宋体"/>
          <w:b/>
          <w:bCs/>
          <w:kern w:val="44"/>
          <w:sz w:val="36"/>
          <w:szCs w:val="44"/>
          <w:highlight w:val="none"/>
        </w:rPr>
        <w:sectPr>
          <w:footerReference r:id="rId4" w:type="first"/>
          <w:footerReference r:id="rId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48</w:t>
          </w:r>
        </w:p>
        <w:p>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6"/>
                <w:rFonts w:ascii="宋体" w:hAnsi="宋体" w:eastAsia="宋体" w:cs="宋体"/>
                <w:b/>
                <w:sz w:val="28"/>
                <w:szCs w:val="28"/>
              </w:rPr>
            </w:pPr>
            <w:bookmarkStart w:id="3" w:name="_Toc346372875"/>
            <w:r>
              <w:rPr>
                <w:rStyle w:val="136"/>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6"/>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项目名称：</w:t>
            </w:r>
            <w:r>
              <w:rPr>
                <w:rFonts w:hint="eastAsia" w:ascii="宋体" w:hAnsi="宋体" w:eastAsia="宋体" w:cs="宋体"/>
                <w:b/>
                <w:bCs/>
                <w:sz w:val="24"/>
                <w:szCs w:val="24"/>
                <w:lang w:val="en-US" w:eastAsia="zh-CN"/>
              </w:rPr>
              <w:t>定值拧紧设备项目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b/>
                <w:bCs/>
                <w:color w:val="FF0000"/>
                <w:sz w:val="24"/>
                <w:szCs w:val="24"/>
                <w:highlight w:val="yellow"/>
                <w:lang w:eastAsia="zh-CN"/>
              </w:rPr>
              <w:t>CGZX2023100279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shd w:val="clear" w:color="auto" w:fill="auto"/>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宋体" w:eastAsia="宋体" w:cs="宋体"/>
                <w:b/>
                <w:bCs/>
                <w:sz w:val="24"/>
                <w:szCs w:val="24"/>
                <w:highlight w:val="none"/>
                <w:lang w:val="en-US" w:eastAsia="zh-CN"/>
              </w:rPr>
              <w:t>采购一批定值拧紧设备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shd w:val="clear" w:color="auto" w:fill="auto"/>
            <w:vAlign w:val="center"/>
          </w:tcPr>
          <w:p>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shd w:val="clear" w:fill="FFFF00"/>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重汽（济南）轻卡有限公司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山东省济南市章丘区圣井街道潘王路</w:t>
            </w:r>
            <w:r>
              <w:rPr>
                <w:rFonts w:hint="eastAsia" w:ascii="宋体" w:hAnsi="宋体" w:eastAsia="宋体" w:cs="宋体"/>
                <w:sz w:val="24"/>
                <w:szCs w:val="24"/>
                <w:highlight w:val="none"/>
                <w:u w:val="single"/>
                <w:lang w:val="en-US" w:eastAsia="zh-CN"/>
              </w:rPr>
              <w:t>东园区十一号路北</w:t>
            </w:r>
            <w:r>
              <w:rPr>
                <w:rFonts w:hint="eastAsia" w:ascii="宋体" w:hAnsi="宋体" w:eastAsia="宋体" w:cs="宋体"/>
                <w:sz w:val="24"/>
                <w:szCs w:val="24"/>
                <w:highlight w:val="none"/>
                <w:u w:val="single"/>
              </w:rPr>
              <w:t xml:space="preserve"> </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喻新</w:t>
            </w:r>
          </w:p>
          <w:p>
            <w:pPr>
              <w:pStyle w:val="17"/>
              <w:ind w:firstLine="482" w:firstLineChars="200"/>
              <w:rPr>
                <w:rFonts w:hint="default" w:eastAsia="宋体"/>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17853167618</w:t>
            </w:r>
          </w:p>
          <w:p>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
                <w:snapToGrid w:val="0"/>
                <w:kern w:val="0"/>
                <w:sz w:val="24"/>
                <w:szCs w:val="24"/>
                <w:highlight w:val="none"/>
                <w:lang w:val="en-US" w:eastAsia="zh-CN"/>
              </w:rPr>
              <w:t>qkbyuxin@sinotruk.com</w:t>
            </w:r>
          </w:p>
          <w:p>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技术</w:t>
            </w:r>
            <w:r>
              <w:rPr>
                <w:rFonts w:hint="eastAsia" w:ascii="宋体" w:hAnsi="宋体" w:eastAsia="宋体" w:cs="宋体"/>
                <w:b/>
                <w:bCs/>
                <w:sz w:val="24"/>
                <w:szCs w:val="24"/>
              </w:rPr>
              <w:t>联系人：</w:t>
            </w:r>
            <w:r>
              <w:rPr>
                <w:rFonts w:hint="eastAsia" w:ascii="宋体" w:hAnsi="宋体" w:eastAsia="宋体" w:cs="宋体"/>
                <w:b/>
                <w:bCs/>
                <w:sz w:val="24"/>
                <w:szCs w:val="24"/>
                <w:lang w:val="en-US" w:eastAsia="zh-CN"/>
              </w:rPr>
              <w:t>吕铮</w:t>
            </w:r>
          </w:p>
          <w:p>
            <w:pPr>
              <w:ind w:firstLine="482" w:firstLineChars="200"/>
              <w:rPr>
                <w:rFonts w:hint="eastAsia" w:ascii="宋体" w:hAnsi="宋体" w:eastAsia="宋体" w:cs="宋体"/>
                <w:bCs/>
                <w:snapToGrid w:val="0"/>
                <w:kern w:val="0"/>
                <w:sz w:val="24"/>
                <w:szCs w:val="24"/>
                <w:highlight w:val="none"/>
                <w:lang w:val="en-US" w:eastAsia="zh-CN" w:bidi="ar-SA"/>
              </w:rPr>
            </w:pPr>
            <w:r>
              <w:rPr>
                <w:rFonts w:hint="eastAsia" w:ascii="宋体" w:hAnsi="宋体" w:eastAsia="宋体" w:cs="宋体"/>
                <w:b/>
                <w:bCs/>
                <w:sz w:val="24"/>
                <w:szCs w:val="24"/>
              </w:rPr>
              <w:t>电话：13252800290</w:t>
            </w:r>
          </w:p>
          <w:p>
            <w:pPr>
              <w:keepNext w:val="0"/>
              <w:keepLines w:val="0"/>
              <w:widowControl w:val="0"/>
              <w:suppressLineNumbers w:val="0"/>
              <w:spacing w:before="0" w:beforeAutospacing="0" w:after="0" w:afterAutospacing="0"/>
              <w:ind w:left="0" w:right="0" w:firstLine="482" w:firstLineChars="200"/>
              <w:jc w:val="both"/>
              <w:rPr>
                <w:rFonts w:hint="default"/>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：469024800@qq.com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表面处理费用、运杂费（包括现场卸车费）、设计、制造、安装、调试（含现场调试）、调试板料费，样件生产及包装运输费、验收、技术及售后服务费、技术资料费、备品备件费、随机资料、保险、税费、运杂、安装调试、与其他专业配合及可预见的风险以及其它不可预见等全部费。</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24"/>
              <w:ind w:firstLine="482" w:firstLineChars="200"/>
              <w:rPr>
                <w:rFonts w:hint="default" w:eastAsia="宋体"/>
                <w:lang w:val="en-US" w:eastAsia="zh-CN"/>
              </w:rPr>
            </w:pPr>
            <w:r>
              <w:rPr>
                <w:rFonts w:hint="eastAsia" w:ascii="宋体" w:hAnsi="宋体" w:eastAsia="宋体" w:cs="宋体"/>
                <w:b/>
                <w:bCs/>
                <w:caps w:val="0"/>
                <w:color w:val="auto"/>
                <w:kern w:val="2"/>
                <w:sz w:val="24"/>
                <w:szCs w:val="24"/>
                <w:lang w:val="en-US" w:eastAsia="zh-CN" w:bidi="ar-SA"/>
              </w:rPr>
              <w:t>投标限价：</w:t>
            </w:r>
            <w:r>
              <w:rPr>
                <w:rFonts w:hint="eastAsia" w:cs="宋体"/>
                <w:b/>
                <w:bCs/>
                <w:caps w:val="0"/>
                <w:color w:val="FF0000"/>
                <w:kern w:val="2"/>
                <w:sz w:val="24"/>
                <w:szCs w:val="24"/>
                <w:highlight w:val="yellow"/>
                <w:lang w:val="en-US" w:eastAsia="zh-CN" w:bidi="ar-SA"/>
              </w:rPr>
              <w:t>190</w:t>
            </w:r>
            <w:r>
              <w:rPr>
                <w:rFonts w:hint="eastAsia" w:ascii="宋体" w:hAnsi="宋体" w:eastAsia="宋体" w:cs="宋体"/>
                <w:b/>
                <w:bCs/>
                <w:caps w:val="0"/>
                <w:color w:val="auto"/>
                <w:kern w:val="2"/>
                <w:sz w:val="24"/>
                <w:szCs w:val="24"/>
                <w:lang w:val="en-US" w:eastAsia="zh-CN" w:bidi="ar-SA"/>
              </w:rPr>
              <w:t>万（含税），超过投标限价无法投标。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500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lang w:val="en-US" w:eastAsia="zh-CN"/>
              </w:rPr>
              <w:t>三</w:t>
            </w:r>
            <w:r>
              <w:rPr>
                <w:rFonts w:hint="eastAsia" w:ascii="宋体" w:hAnsi="宋体" w:eastAsia="宋体" w:cs="宋体"/>
                <w:b/>
                <w:color w:val="000000"/>
                <w:sz w:val="24"/>
                <w:szCs w:val="24"/>
                <w:highlight w:val="yellow"/>
                <w:u w:val="single"/>
              </w:rPr>
              <w:t>年以上</w:t>
            </w:r>
            <w:r>
              <w:rPr>
                <w:rFonts w:hint="eastAsia" w:ascii="宋体" w:hAnsi="宋体" w:eastAsia="宋体" w:cs="宋体"/>
                <w:color w:val="000000"/>
                <w:sz w:val="24"/>
                <w:szCs w:val="24"/>
              </w:rPr>
              <w:t>（以营业执照成立日期到开标当日满</w:t>
            </w:r>
            <w:r>
              <w:rPr>
                <w:rFonts w:hint="eastAsia" w:hAnsi="宋体" w:eastAsia="宋体" w:cs="宋体"/>
                <w:color w:val="000000"/>
                <w:sz w:val="24"/>
                <w:szCs w:val="24"/>
                <w:lang w:val="en-US" w:eastAsia="zh-CN"/>
              </w:rPr>
              <w:t>三</w:t>
            </w:r>
            <w:r>
              <w:rPr>
                <w:rFonts w:hint="eastAsia" w:ascii="宋体" w:hAnsi="宋体" w:eastAsia="宋体" w:cs="宋体"/>
                <w:color w:val="000000"/>
                <w:sz w:val="24"/>
                <w:szCs w:val="24"/>
              </w:rPr>
              <w:t>年为准），且经营范围满足招标人需求；并在人员、设备、资金等方面具有承担本项目的能力；</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4.拟投标人在“国家企业信用信息公示系统”、“中国执行信息公开网”、“信用中国”、“天眼查”“裁判文书网”等信息平台中，无行政处罚及失信记录等信息；</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w:t>
            </w:r>
            <w:r>
              <w:rPr>
                <w:rFonts w:hint="eastAsia" w:hAnsi="宋体" w:eastAsia="宋体" w:cs="宋体"/>
                <w:color w:val="000000"/>
                <w:sz w:val="24"/>
                <w:szCs w:val="24"/>
              </w:rPr>
              <w:t>拟投标人</w:t>
            </w:r>
            <w:r>
              <w:rPr>
                <w:rFonts w:hint="eastAsia" w:hAnsi="宋体" w:eastAsia="宋体" w:cs="宋体"/>
                <w:sz w:val="24"/>
                <w:szCs w:val="24"/>
                <w:highlight w:val="yellow"/>
                <w:lang w:eastAsia="zh-CN"/>
              </w:rPr>
              <w:t>2020年1月1日</w:t>
            </w:r>
            <w:r>
              <w:rPr>
                <w:rFonts w:hint="eastAsia" w:hAnsi="宋体" w:eastAsia="宋体" w:cs="宋体"/>
                <w:sz w:val="24"/>
                <w:szCs w:val="24"/>
              </w:rPr>
              <w:t>至今</w:t>
            </w:r>
            <w:r>
              <w:rPr>
                <w:rFonts w:hint="eastAsia" w:ascii="宋体" w:hAnsi="宋体" w:eastAsia="宋体" w:cs="宋体"/>
                <w:color w:val="000000"/>
                <w:sz w:val="24"/>
                <w:szCs w:val="24"/>
                <w:highlight w:val="none"/>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p>
          <w:p>
            <w:pPr>
              <w:pStyle w:val="17"/>
              <w:ind w:firstLine="480" w:firstLineChars="200"/>
              <w:rPr>
                <w:rFonts w:hint="eastAsia" w:hAnsi="宋体" w:eastAsia="宋体" w:cs="宋体"/>
                <w:kern w:val="0"/>
                <w:sz w:val="24"/>
                <w:szCs w:val="24"/>
                <w:highlight w:val="yellow"/>
                <w:lang w:eastAsia="zh-CN" w:bidi="ar"/>
              </w:rPr>
            </w:pPr>
            <w:r>
              <w:rPr>
                <w:rFonts w:hint="eastAsia" w:hAnsi="宋体" w:eastAsia="宋体" w:cs="宋体"/>
                <w:color w:val="000000"/>
                <w:kern w:val="0"/>
                <w:sz w:val="24"/>
                <w:szCs w:val="24"/>
                <w:highlight w:val="yellow"/>
              </w:rPr>
              <w:t>7.</w:t>
            </w:r>
            <w:r>
              <w:rPr>
                <w:rFonts w:hint="eastAsia" w:hAnsi="宋体" w:eastAsia="宋体" w:cs="宋体"/>
                <w:color w:val="000000"/>
                <w:sz w:val="24"/>
                <w:szCs w:val="24"/>
                <w:highlight w:val="yellow"/>
              </w:rPr>
              <w:t>拟投标人2020年1月1日至今，有与本次招标内容相同或类似项目业绩，且近</w:t>
            </w:r>
            <w:r>
              <w:rPr>
                <w:rFonts w:hint="eastAsia" w:hAnsi="宋体" w:eastAsia="宋体" w:cs="宋体"/>
                <w:color w:val="000000"/>
                <w:sz w:val="24"/>
                <w:szCs w:val="24"/>
                <w:highlight w:val="yellow"/>
                <w:lang w:val="en-US" w:eastAsia="zh-CN"/>
              </w:rPr>
              <w:t>2</w:t>
            </w:r>
            <w:r>
              <w:rPr>
                <w:rFonts w:hint="eastAsia" w:hAnsi="宋体" w:eastAsia="宋体" w:cs="宋体"/>
                <w:color w:val="000000"/>
                <w:sz w:val="24"/>
                <w:szCs w:val="24"/>
                <w:highlight w:val="yellow"/>
              </w:rPr>
              <w:t>年内无因服务不当而造成重大事故；</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int="eastAsia" w:hAnsi="宋体" w:eastAsia="宋体" w:cs="宋体"/>
                <w:color w:val="000000"/>
                <w:sz w:val="24"/>
                <w:szCs w:val="24"/>
                <w:highlight w:val="yellow"/>
              </w:rPr>
              <w:t>拟投标人近</w:t>
            </w:r>
            <w:r>
              <w:rPr>
                <w:rFonts w:hint="eastAsia" w:hAnsi="宋体" w:eastAsia="宋体" w:cs="宋体"/>
                <w:color w:val="000000"/>
                <w:sz w:val="24"/>
                <w:szCs w:val="24"/>
                <w:highlight w:val="yellow"/>
                <w:lang w:val="en-US" w:eastAsia="zh-CN"/>
              </w:rPr>
              <w:t>三</w:t>
            </w:r>
            <w:r>
              <w:rPr>
                <w:rFonts w:hint="eastAsia" w:hAnsi="宋体" w:eastAsia="宋体" w:cs="宋体"/>
                <w:color w:val="000000"/>
                <w:sz w:val="24"/>
                <w:szCs w:val="24"/>
                <w:highlight w:val="yellow"/>
              </w:rPr>
              <w:t>年内在经营活动中无与本项目有关的违法及重大违规情况</w:t>
            </w:r>
            <w:r>
              <w:rPr>
                <w:rFonts w:hint="eastAsia" w:hAnsi="宋体" w:eastAsia="宋体" w:cs="宋体"/>
                <w:color w:val="000000"/>
                <w:sz w:val="24"/>
                <w:szCs w:val="24"/>
              </w:rPr>
              <w:t>；</w:t>
            </w:r>
          </w:p>
          <w:p>
            <w:pPr>
              <w:pStyle w:val="17"/>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17"/>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w:t>
            </w:r>
            <w:r>
              <w:rPr>
                <w:rFonts w:ascii="宋体" w:hAnsi="宋体" w:eastAsia="宋体" w:cs="宋体"/>
                <w:sz w:val="24"/>
                <w:szCs w:val="24"/>
                <w:highlight w:val="none"/>
              </w:rPr>
              <w:t>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15</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none"/>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25</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26</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9"/>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w:t>
            </w:r>
            <w:r>
              <w:rPr>
                <w:rFonts w:hint="eastAsia" w:eastAsia="宋体" w:cs="宋体"/>
                <w:b/>
                <w:color w:val="000000"/>
                <w:sz w:val="24"/>
                <w:szCs w:val="24"/>
                <w:highlight w:val="none"/>
                <w:lang w:val="en-US" w:eastAsia="zh-CN"/>
              </w:rPr>
              <w:t>附件16</w:t>
            </w:r>
            <w:r>
              <w:rPr>
                <w:rFonts w:hint="eastAsia" w:ascii="宋体" w:hAnsi="宋体" w:eastAsia="宋体" w:cs="宋体"/>
                <w:b/>
                <w:color w:val="000000"/>
                <w:sz w:val="24"/>
                <w:szCs w:val="24"/>
                <w:highlight w:val="none"/>
                <w:lang w:val="en-US" w:eastAsia="zh-CN"/>
              </w:rPr>
              <w:t>）”，</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w:t>
            </w:r>
            <w:r>
              <w:rPr>
                <w:rFonts w:hint="eastAsia" w:eastAsia="宋体" w:cs="Times New Roman"/>
                <w:b/>
                <w:bCs/>
                <w:color w:val="000000"/>
                <w:sz w:val="24"/>
                <w:szCs w:val="24"/>
                <w:highlight w:val="none"/>
                <w:lang w:eastAsia="zh-CN"/>
              </w:rPr>
              <w:t>1.1-1.1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9"/>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1</w:t>
            </w:r>
            <w:r>
              <w:rPr>
                <w:rFonts w:hint="eastAsia" w:eastAsia="宋体" w:cs="宋体"/>
                <w:highlight w:val="yellow"/>
              </w:rPr>
              <w:t>月</w:t>
            </w:r>
            <w:r>
              <w:rPr>
                <w:rFonts w:hint="eastAsia" w:eastAsia="宋体" w:cs="宋体"/>
                <w:highlight w:val="yellow"/>
                <w:lang w:val="en-US" w:eastAsia="zh-CN"/>
              </w:rPr>
              <w:t>25</w:t>
            </w:r>
            <w:r>
              <w:rPr>
                <w:rFonts w:hint="eastAsia" w:eastAsia="宋体" w:cs="宋体"/>
                <w:highlight w:val="yellow"/>
              </w:rPr>
              <w:t>日</w:t>
            </w:r>
            <w:r>
              <w:rPr>
                <w:rFonts w:hint="eastAsia" w:eastAsia="宋体" w:cs="宋体"/>
                <w:highlight w:val="yellow"/>
                <w:lang w:val="en-US" w:eastAsia="zh-CN"/>
              </w:rPr>
              <w:t>17时00分00秒</w:t>
            </w:r>
          </w:p>
          <w:p>
            <w:pPr>
              <w:pStyle w:val="119"/>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三</w:t>
            </w:r>
            <w:r>
              <w:rPr>
                <w:rFonts w:hint="eastAsia" w:eastAsia="宋体" w:cs="宋体" w:asciiTheme="minorHAnsi" w:hAnsiTheme="minorHAnsi"/>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正本一份，副本二份</w:t>
            </w:r>
            <w:r>
              <w:rPr>
                <w:rFonts w:hint="eastAsia" w:eastAsia="宋体" w:cs="宋体" w:asciiTheme="minorHAnsi" w:hAnsiTheme="minorHAnsi"/>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7"/>
              <w:rPr>
                <w:rFonts w:hint="eastAsia" w:ascii="宋体" w:hAnsi="宋体" w:eastAsia="宋体" w:cs="Times New Roman"/>
                <w:color w:val="000000"/>
                <w:sz w:val="24"/>
                <w:szCs w:val="24"/>
                <w:lang w:val="en-US" w:eastAsia="zh-CN"/>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山东省济南市章丘市圣井镇潘王路东园区十一号路北</w:t>
            </w:r>
          </w:p>
          <w:p>
            <w:pPr>
              <w:pStyle w:val="17"/>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喻新/17853167618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30</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5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0"/>
              <w:rPr>
                <w:rFonts w:ascii="宋体" w:hAnsi="宋体" w:cs="宋体"/>
                <w:sz w:val="24"/>
                <w:szCs w:val="24"/>
                <w:highlight w:val="yellow"/>
                <w:u w:val="single"/>
              </w:rPr>
            </w:pPr>
            <w:r>
              <w:rPr>
                <w:rFonts w:hint="eastAsia" w:ascii="宋体" w:hAnsi="宋体" w:cs="宋体"/>
                <w:sz w:val="24"/>
                <w:szCs w:val="24"/>
              </w:rPr>
              <w:t>Ⅰ.境内投标单位缴纳投标保证金信息：</w:t>
            </w:r>
          </w:p>
          <w:p>
            <w:pPr>
              <w:pStyle w:val="37"/>
              <w:spacing w:after="0" w:line="240" w:lineRule="auto"/>
              <w:ind w:left="0" w:leftChars="0" w:firstLine="480"/>
              <w:rPr>
                <w:rFonts w:ascii="宋体" w:hAnsi="宋体" w:cs="宋体"/>
                <w:color w:val="FF0000"/>
                <w:sz w:val="24"/>
                <w:szCs w:val="24"/>
                <w:highlight w:val="none"/>
              </w:rPr>
            </w:pPr>
            <w:r>
              <w:rPr>
                <w:rFonts w:hint="eastAsia" w:ascii="宋体" w:hAnsi="宋体" w:cs="宋体"/>
                <w:color w:val="FF0000"/>
                <w:sz w:val="24"/>
                <w:szCs w:val="24"/>
                <w:highlight w:val="none"/>
              </w:rPr>
              <w:t>投标保证金的金额：</w:t>
            </w:r>
            <w:r>
              <w:rPr>
                <w:rFonts w:hint="eastAsia" w:ascii="宋体" w:hAnsi="宋体" w:cs="宋体"/>
                <w:color w:val="FF0000"/>
                <w:sz w:val="24"/>
                <w:szCs w:val="24"/>
                <w:highlight w:val="yellow"/>
              </w:rPr>
              <w:t>人民币</w:t>
            </w:r>
            <w:r>
              <w:rPr>
                <w:rFonts w:hint="eastAsia" w:ascii="宋体" w:hAnsi="宋体" w:cs="宋体"/>
                <w:color w:val="FF0000"/>
                <w:sz w:val="24"/>
                <w:szCs w:val="24"/>
                <w:highlight w:val="yellow"/>
                <w:lang w:val="en-US" w:eastAsia="zh-CN"/>
              </w:rPr>
              <w:t>200</w:t>
            </w:r>
            <w:r>
              <w:rPr>
                <w:rFonts w:hint="eastAsia" w:ascii="宋体" w:hAnsi="宋体" w:cs="宋体"/>
                <w:color w:val="FF0000"/>
                <w:sz w:val="24"/>
                <w:szCs w:val="24"/>
                <w:highlight w:val="yellow"/>
              </w:rPr>
              <w:t>00元</w:t>
            </w:r>
          </w:p>
          <w:p>
            <w:pPr>
              <w:pStyle w:val="37"/>
              <w:spacing w:after="0" w:line="240" w:lineRule="auto"/>
              <w:ind w:left="0" w:leftChars="0" w:firstLine="480"/>
              <w:rPr>
                <w:rFonts w:hint="eastAsia" w:ascii="宋体" w:hAnsi="宋体" w:eastAsia="宋体" w:cs="宋体"/>
                <w:color w:val="FF0000"/>
                <w:sz w:val="24"/>
                <w:szCs w:val="24"/>
                <w:highlight w:val="none"/>
                <w:lang w:eastAsia="zh-CN"/>
              </w:rPr>
            </w:pPr>
            <w:r>
              <w:rPr>
                <w:rFonts w:hint="eastAsia" w:ascii="宋体" w:hAnsi="宋体" w:cs="宋体"/>
                <w:color w:val="FF0000"/>
                <w:sz w:val="24"/>
                <w:szCs w:val="24"/>
                <w:highlight w:val="none"/>
              </w:rPr>
              <w:t>开户名称：</w:t>
            </w:r>
            <w:r>
              <w:rPr>
                <w:rFonts w:hint="eastAsia" w:ascii="宋体" w:hAnsi="宋体" w:cs="宋体"/>
                <w:color w:val="FF0000"/>
                <w:sz w:val="24"/>
                <w:szCs w:val="24"/>
                <w:highlight w:val="none"/>
                <w:lang w:eastAsia="zh-CN"/>
              </w:rPr>
              <w:t>重汽（济南）轻卡有限公司</w:t>
            </w:r>
          </w:p>
          <w:p>
            <w:pPr>
              <w:pStyle w:val="37"/>
              <w:spacing w:after="0" w:line="240" w:lineRule="auto"/>
              <w:ind w:left="0" w:leftChars="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开户银行：中国银行股份有限公司</w:t>
            </w:r>
          </w:p>
          <w:p>
            <w:pPr>
              <w:pStyle w:val="37"/>
              <w:spacing w:after="0" w:line="240" w:lineRule="auto"/>
              <w:ind w:left="0" w:leftChars="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银行帐号：2377</w:t>
            </w:r>
            <w:r>
              <w:rPr>
                <w:rFonts w:hint="eastAsia" w:ascii="宋体" w:hAnsi="宋体" w:cs="宋体"/>
                <w:color w:val="FF0000"/>
                <w:sz w:val="24"/>
                <w:szCs w:val="24"/>
                <w:highlight w:val="none"/>
                <w:lang w:val="en-US" w:eastAsia="zh-CN"/>
              </w:rPr>
              <w:t xml:space="preserve"> </w:t>
            </w:r>
            <w:r>
              <w:rPr>
                <w:rFonts w:hint="eastAsia" w:ascii="宋体" w:hAnsi="宋体" w:cs="宋体"/>
                <w:color w:val="FF0000"/>
                <w:sz w:val="24"/>
                <w:szCs w:val="24"/>
                <w:highlight w:val="none"/>
              </w:rPr>
              <w:t>4421</w:t>
            </w:r>
            <w:r>
              <w:rPr>
                <w:rFonts w:hint="eastAsia" w:ascii="宋体" w:hAnsi="宋体" w:cs="宋体"/>
                <w:color w:val="FF0000"/>
                <w:sz w:val="24"/>
                <w:szCs w:val="24"/>
                <w:highlight w:val="none"/>
                <w:lang w:val="en-US" w:eastAsia="zh-CN"/>
              </w:rPr>
              <w:t xml:space="preserve"> </w:t>
            </w:r>
            <w:r>
              <w:rPr>
                <w:rFonts w:hint="eastAsia" w:ascii="宋体" w:hAnsi="宋体" w:cs="宋体"/>
                <w:color w:val="FF0000"/>
                <w:sz w:val="24"/>
                <w:szCs w:val="24"/>
                <w:highlight w:val="none"/>
              </w:rPr>
              <w:t>9844</w:t>
            </w:r>
          </w:p>
          <w:p>
            <w:pPr>
              <w:pStyle w:val="37"/>
              <w:spacing w:after="0" w:line="240" w:lineRule="auto"/>
              <w:ind w:left="0" w:leftChars="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开户行行号：1044</w:t>
            </w:r>
            <w:r>
              <w:rPr>
                <w:rFonts w:hint="eastAsia" w:ascii="宋体" w:hAnsi="宋体" w:cs="宋体"/>
                <w:color w:val="FF0000"/>
                <w:sz w:val="24"/>
                <w:szCs w:val="24"/>
                <w:highlight w:val="none"/>
                <w:lang w:val="en-US" w:eastAsia="zh-CN"/>
              </w:rPr>
              <w:t xml:space="preserve"> </w:t>
            </w:r>
            <w:r>
              <w:rPr>
                <w:rFonts w:hint="eastAsia" w:ascii="宋体" w:hAnsi="宋体" w:cs="宋体"/>
                <w:color w:val="FF0000"/>
                <w:sz w:val="24"/>
                <w:szCs w:val="24"/>
                <w:highlight w:val="none"/>
              </w:rPr>
              <w:t>5103</w:t>
            </w:r>
            <w:r>
              <w:rPr>
                <w:rFonts w:hint="eastAsia" w:ascii="宋体" w:hAnsi="宋体" w:cs="宋体"/>
                <w:color w:val="FF0000"/>
                <w:sz w:val="24"/>
                <w:szCs w:val="24"/>
                <w:highlight w:val="none"/>
                <w:lang w:val="en-US" w:eastAsia="zh-CN"/>
              </w:rPr>
              <w:t xml:space="preserve"> </w:t>
            </w:r>
            <w:r>
              <w:rPr>
                <w:rFonts w:hint="eastAsia" w:ascii="宋体" w:hAnsi="宋体" w:cs="宋体"/>
                <w:color w:val="FF0000"/>
                <w:sz w:val="24"/>
                <w:szCs w:val="24"/>
                <w:highlight w:val="none"/>
              </w:rPr>
              <w:t>9687</w:t>
            </w:r>
          </w:p>
          <w:p>
            <w:pPr>
              <w:pStyle w:val="37"/>
              <w:spacing w:after="0" w:line="240" w:lineRule="auto"/>
              <w:ind w:left="0" w:leftChars="0" w:firstLine="480"/>
              <w:rPr>
                <w:rFonts w:ascii="宋体" w:hAnsi="宋体" w:cs="宋体"/>
                <w:sz w:val="24"/>
                <w:szCs w:val="24"/>
              </w:rPr>
            </w:pPr>
            <w:r>
              <w:rPr>
                <w:rFonts w:hint="eastAsia" w:ascii="宋体" w:hAnsi="宋体" w:cs="宋体"/>
                <w:sz w:val="24"/>
                <w:szCs w:val="24"/>
              </w:rPr>
              <w:t>投标保证金应从投标人基本账户转出至上述账户并到账，否则视为无效投标。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ascii="宋体" w:hAnsi="宋体" w:cs="宋体"/>
                <w:sz w:val="24"/>
                <w:szCs w:val="24"/>
              </w:rPr>
              <w:t>Ⅱ.</w:t>
            </w:r>
            <w:r>
              <w:rPr>
                <w:rFonts w:hint="eastAsia" w:ascii="宋体" w:hAnsi="宋体" w:eastAsia="宋体" w:cs="宋体"/>
                <w:kern w:val="2"/>
                <w:sz w:val="24"/>
                <w:szCs w:val="24"/>
                <w:lang w:val="en-US" w:eastAsia="zh-CN" w:bidi="ar-SA"/>
              </w:rPr>
              <w:t>转账附言：公司名称+项目名称+投标保证金（方便后期核对退款）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25</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w:t>
            </w:r>
            <w:r>
              <w:rPr>
                <w:rFonts w:hint="eastAsia" w:ascii="宋体" w:hAnsi="宋体" w:cs="宋体"/>
                <w:sz w:val="24"/>
                <w:szCs w:val="24"/>
                <w:highlight w:val="none"/>
                <w:lang w:val="en-US" w:eastAsia="zh-CN"/>
              </w:rPr>
              <w:t>6</w:t>
            </w:r>
            <w:r>
              <w:rPr>
                <w:rFonts w:hint="eastAsia" w:ascii="宋体" w:hAnsi="宋体" w:cs="宋体"/>
                <w:sz w:val="24"/>
                <w:szCs w:val="24"/>
                <w:highlight w:val="none"/>
              </w:rPr>
              <w:t>0工作日内予以原路返还（无息）；对于中标方，投标保证金将在签订合同后</w:t>
            </w:r>
            <w:r>
              <w:rPr>
                <w:rFonts w:hint="eastAsia" w:ascii="宋体" w:hAnsi="宋体" w:cs="宋体"/>
                <w:sz w:val="24"/>
                <w:szCs w:val="24"/>
                <w:highlight w:val="none"/>
                <w:lang w:val="en-US" w:eastAsia="zh-CN"/>
              </w:rPr>
              <w:t>6</w:t>
            </w:r>
            <w:r>
              <w:rPr>
                <w:rFonts w:hint="eastAsia" w:ascii="宋体" w:hAnsi="宋体" w:cs="宋体"/>
                <w:sz w:val="24"/>
                <w:szCs w:val="24"/>
                <w:highlight w:val="none"/>
              </w:rPr>
              <w:t>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highlight w:val="yellow"/>
                <w:lang w:val="en-US" w:eastAsia="zh-CN"/>
              </w:rPr>
              <w:t>9:3</w:t>
            </w:r>
            <w:r>
              <w:rPr>
                <w:rFonts w:hint="eastAsia" w:ascii="宋体" w:hAnsi="宋体" w:eastAsia="宋体" w:cs="宋体"/>
                <w:sz w:val="24"/>
                <w:szCs w:val="24"/>
                <w:highlight w:val="yellow"/>
              </w:rPr>
              <w:t>0</w:t>
            </w:r>
            <w:r>
              <w:rPr>
                <w:rFonts w:hint="eastAsia" w:ascii="宋体" w:hAnsi="宋体" w:eastAsia="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lang w:val="en-US" w:eastAsia="zh-CN"/>
              </w:rPr>
              <w:t>章丘</w:t>
            </w:r>
            <w:r>
              <w:rPr>
                <w:rFonts w:hint="eastAsia" w:ascii="宋体" w:hAnsi="宋体" w:eastAsia="宋体" w:cs="Times New Roman"/>
                <w:color w:val="000000"/>
                <w:sz w:val="24"/>
                <w:szCs w:val="24"/>
                <w:highlight w:val="yellow"/>
              </w:rPr>
              <w:t>区</w:t>
            </w:r>
            <w:r>
              <w:rPr>
                <w:rFonts w:hint="eastAsia" w:ascii="宋体" w:hAnsi="宋体" w:eastAsia="宋体" w:cs="宋体"/>
                <w:sz w:val="24"/>
                <w:szCs w:val="24"/>
                <w:highlight w:val="yellow"/>
                <w:lang w:val="en-US" w:eastAsia="zh-CN"/>
              </w:rPr>
              <w:t>潘王路东园区是一号路北，济南轻卡制造公司</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评标方法：资质标审核</w:t>
            </w:r>
            <w:bookmarkStart w:id="4" w:name="OLE_LINK2"/>
            <w:r>
              <w:rPr>
                <w:rFonts w:hint="eastAsia" w:ascii="宋体" w:hAnsi="宋体" w:eastAsia="宋体" w:cs="宋体"/>
                <w:b/>
                <w:bCs/>
                <w:sz w:val="24"/>
                <w:szCs w:val="24"/>
              </w:rPr>
              <w:t>→</w:t>
            </w:r>
            <w:bookmarkEnd w:id="4"/>
            <w:r>
              <w:rPr>
                <w:rFonts w:hint="eastAsia" w:ascii="宋体" w:hAnsi="宋体" w:eastAsia="宋体" w:cs="宋体"/>
                <w:b/>
                <w:bCs/>
                <w:sz w:val="24"/>
                <w:szCs w:val="24"/>
              </w:rPr>
              <w:t>唱标→技术标评审→商务标评审。技术标入围后，原则上选取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r>
              <w:rPr>
                <w:rFonts w:hint="eastAsia" w:ascii="宋体" w:hAnsi="宋体" w:eastAsia="宋体" w:cs="宋体"/>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8"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shd w:val="clear"/>
              <w:ind w:firstLine="480" w:firstLineChars="200"/>
              <w:rPr>
                <w:rFonts w:hint="eastAsia" w:hAnsi="宋体" w:eastAsia="宋体" w:cs="宋体"/>
                <w:color w:val="FF0000"/>
                <w:sz w:val="24"/>
                <w:szCs w:val="24"/>
                <w:highlight w:val="yellow"/>
              </w:rPr>
            </w:pPr>
            <w:r>
              <w:rPr>
                <w:rFonts w:hint="eastAsia" w:hAnsi="宋体" w:eastAsia="宋体" w:cs="宋体"/>
                <w:color w:val="FF0000"/>
                <w:sz w:val="24"/>
                <w:szCs w:val="24"/>
                <w:highlight w:val="yellow"/>
                <w:lang w:val="en-US" w:eastAsia="zh-CN"/>
              </w:rPr>
              <w:t>自接到中标通知书之日起，45</w:t>
            </w:r>
            <w:r>
              <w:rPr>
                <w:rFonts w:hint="eastAsia" w:hAnsi="宋体" w:eastAsia="宋体" w:cs="宋体"/>
                <w:color w:val="FF0000"/>
                <w:sz w:val="24"/>
                <w:szCs w:val="24"/>
                <w:highlight w:val="yellow"/>
              </w:rPr>
              <w:t>个日历日之内交货至供货地点</w:t>
            </w:r>
          </w:p>
          <w:p>
            <w:pPr>
              <w:pStyle w:val="17"/>
              <w:shd w:val="clear"/>
              <w:ind w:firstLine="480" w:firstLineChars="200"/>
              <w:rPr>
                <w:rFonts w:hint="eastAsia" w:hAnsi="宋体" w:eastAsia="宋体" w:cs="宋体"/>
                <w:color w:val="FF0000"/>
                <w:sz w:val="24"/>
                <w:szCs w:val="24"/>
              </w:rPr>
            </w:pPr>
            <w:r>
              <w:rPr>
                <w:rFonts w:hint="eastAsia" w:hAnsi="宋体" w:eastAsia="宋体" w:cs="宋体"/>
                <w:color w:val="FF0000"/>
                <w:sz w:val="24"/>
                <w:szCs w:val="24"/>
              </w:rPr>
              <w:t>投标人应当随标书提供详细的工期计划。</w:t>
            </w:r>
          </w:p>
          <w:p>
            <w:pPr>
              <w:pStyle w:val="17"/>
              <w:shd w:val="clear"/>
              <w:ind w:firstLine="480" w:firstLineChars="200"/>
              <w:rPr>
                <w:rFonts w:hint="eastAsia" w:hAnsi="宋体" w:eastAsia="宋体" w:cs="宋体"/>
                <w:color w:val="FF0000"/>
                <w:sz w:val="24"/>
                <w:szCs w:val="24"/>
              </w:rPr>
            </w:pPr>
            <w:r>
              <w:rPr>
                <w:rFonts w:hint="eastAsia" w:hAnsi="宋体" w:eastAsia="宋体" w:cs="宋体"/>
                <w:color w:val="FF0000"/>
                <w:sz w:val="24"/>
                <w:szCs w:val="24"/>
              </w:rPr>
              <w:t>如果因投标方原因不能在规定周期内交付,投标方</w:t>
            </w:r>
            <w:r>
              <w:rPr>
                <w:rFonts w:hint="eastAsia" w:hAnsi="宋体" w:eastAsia="宋体" w:cs="宋体"/>
                <w:color w:val="FF0000"/>
                <w:sz w:val="24"/>
                <w:szCs w:val="24"/>
                <w:lang w:val="en-US" w:eastAsia="zh-CN"/>
              </w:rPr>
              <w:t>需</w:t>
            </w:r>
            <w:r>
              <w:rPr>
                <w:rFonts w:hint="eastAsia" w:hAnsi="宋体" w:eastAsia="宋体" w:cs="宋体"/>
                <w:color w:val="FF0000"/>
                <w:sz w:val="24"/>
                <w:szCs w:val="24"/>
              </w:rPr>
              <w:t>承担相应的商务责任。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FF0000"/>
                <w:sz w:val="24"/>
                <w:szCs w:val="24"/>
                <w:lang w:val="en-US" w:eastAsia="zh-CN"/>
              </w:rPr>
              <w:t>济南市章丘区潘王路东园区十一号路北，济南轻卡制造公司</w:t>
            </w:r>
            <w:r>
              <w:rPr>
                <w:rFonts w:hint="eastAsia" w:hAnsi="宋体" w:eastAsia="宋体" w:cs="宋体"/>
                <w:color w:val="000000" w:themeColor="text1"/>
                <w:sz w:val="24"/>
                <w:szCs w:val="24"/>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w:t>
            </w:r>
            <w:bookmarkStart w:id="173" w:name="_GoBack"/>
            <w:bookmarkEnd w:id="173"/>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pStyle w:val="10"/>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A.设备</w:t>
            </w:r>
            <w:r>
              <w:rPr>
                <w:rFonts w:hint="eastAsia" w:ascii="宋体" w:hAnsi="宋体" w:eastAsia="宋体" w:cs="宋体"/>
                <w:sz w:val="24"/>
                <w:szCs w:val="24"/>
                <w:highlight w:val="yellow"/>
                <w:lang w:val="en-US" w:eastAsia="zh-CN"/>
              </w:rPr>
              <w:t>全部到货无质量问题，并预</w:t>
            </w:r>
            <w:r>
              <w:rPr>
                <w:rFonts w:hint="eastAsia" w:ascii="宋体" w:hAnsi="宋体" w:eastAsia="宋体" w:cs="宋体"/>
                <w:sz w:val="24"/>
                <w:szCs w:val="24"/>
                <w:highlight w:val="yellow"/>
              </w:rPr>
              <w:t>验收合格后，中标人提交金额为合同价款30%的收据并提供合同价款</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0%的增值税专用发票（含复印件二份），经招标人依照财务制度审核无误后支付；</w:t>
            </w:r>
          </w:p>
          <w:p>
            <w:pPr>
              <w:pStyle w:val="10"/>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B</w:t>
            </w:r>
            <w:r>
              <w:rPr>
                <w:rFonts w:hint="eastAsia" w:ascii="宋体" w:hAnsi="宋体" w:eastAsia="宋体" w:cs="宋体"/>
                <w:sz w:val="24"/>
                <w:szCs w:val="24"/>
                <w:highlight w:val="yellow"/>
              </w:rPr>
              <w:t>.设备</w:t>
            </w:r>
            <w:r>
              <w:rPr>
                <w:rFonts w:hint="eastAsia" w:ascii="宋体" w:hAnsi="宋体" w:eastAsia="宋体" w:cs="宋体"/>
                <w:sz w:val="24"/>
                <w:szCs w:val="24"/>
                <w:highlight w:val="yellow"/>
                <w:lang w:val="en-US" w:eastAsia="zh-CN"/>
              </w:rPr>
              <w:t>终</w:t>
            </w:r>
            <w:r>
              <w:rPr>
                <w:rFonts w:hint="eastAsia" w:ascii="宋体" w:hAnsi="宋体" w:eastAsia="宋体" w:cs="宋体"/>
                <w:sz w:val="24"/>
                <w:szCs w:val="24"/>
                <w:highlight w:val="yellow"/>
              </w:rPr>
              <w:t>验收合格后，中标人提交金额为合同价款</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0%的收据并提供合同价款</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0%的增值税专用发票（含复印件二份），经招标人依照财务制度审核无误后支付；</w:t>
            </w:r>
          </w:p>
          <w:p>
            <w:pPr>
              <w:pStyle w:val="10"/>
              <w:ind w:firstLine="480" w:firstLineChars="200"/>
              <w:rPr>
                <w:rFonts w:ascii="宋体" w:hAnsi="宋体" w:eastAsia="宋体" w:cs="宋体"/>
                <w:sz w:val="24"/>
                <w:szCs w:val="24"/>
              </w:rPr>
            </w:pPr>
            <w:r>
              <w:rPr>
                <w:rFonts w:hint="eastAsia" w:ascii="宋体" w:hAnsi="宋体" w:eastAsia="宋体" w:cs="宋体"/>
                <w:sz w:val="24"/>
                <w:szCs w:val="24"/>
                <w:highlight w:val="yellow"/>
                <w:lang w:val="en-US" w:eastAsia="zh-CN"/>
              </w:rPr>
              <w:t>C.</w:t>
            </w:r>
            <w:r>
              <w:rPr>
                <w:rFonts w:hint="eastAsia" w:ascii="宋体" w:hAnsi="宋体" w:eastAsia="宋体" w:cs="宋体"/>
                <w:sz w:val="24"/>
                <w:szCs w:val="24"/>
                <w:highlight w:val="yellow"/>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无误后30日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56"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shd w:val="clea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shd w:val="clear"/>
              <w:ind w:left="479" w:leftChars="228" w:firstLine="0" w:firstLineChars="0"/>
              <w:rPr>
                <w:rFonts w:ascii="宋体" w:hAnsi="宋体" w:cs="宋体"/>
                <w:bCs/>
                <w:sz w:val="24"/>
                <w:szCs w:val="24"/>
              </w:rPr>
            </w:pPr>
            <w:r>
              <w:rPr>
                <w:rFonts w:hint="eastAsia" w:ascii="宋体" w:hAnsi="宋体" w:eastAsia="宋体" w:cs="宋体"/>
                <w:kern w:val="2"/>
                <w:sz w:val="24"/>
                <w:szCs w:val="24"/>
                <w:lang w:val="en-US" w:eastAsia="zh-CN" w:bidi="ar-SA"/>
              </w:rPr>
              <w:t>名称：重汽（济南）轻卡有限公司</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地址：山东省济南市章丘区圣井街道潘王路西</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纳税人识别号：91370181MA3TFTFB5W</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开户行：中国银行股份有限公司济南分行</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账号：235142245067</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电话：0531-58068611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4"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shd w:val="clear"/>
              <w:ind w:firstLine="480" w:firstLineChars="200"/>
              <w:rPr>
                <w:rFonts w:hint="eastAsia" w:ascii="宋体" w:hAnsi="宋体" w:eastAsia="宋体" w:cs="宋体"/>
                <w:sz w:val="24"/>
                <w:szCs w:val="24"/>
                <w:highlight w:val="red"/>
              </w:rPr>
            </w:pPr>
            <w:r>
              <w:rPr>
                <w:rFonts w:hint="eastAsia" w:ascii="宋体" w:hAnsi="宋体" w:eastAsia="宋体" w:cs="宋体"/>
                <w:sz w:val="24"/>
                <w:szCs w:val="24"/>
                <w:highlight w:val="red"/>
                <w:lang w:val="en-US" w:eastAsia="zh-CN"/>
              </w:rPr>
              <w:t>投标内容的分解报价、设计图纸等招标人所需要的各类资料，招标人为推进项目招标定标流程时需要上述资料的，中标人应及时无偿提供。</w:t>
            </w:r>
          </w:p>
          <w:p>
            <w:pPr>
              <w:pStyle w:val="10"/>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highlight w:val="none"/>
              </w:rPr>
              <w:t>中标人应在合同签订后</w:t>
            </w:r>
            <w:r>
              <w:rPr>
                <w:rFonts w:hint="eastAsia" w:ascii="宋体" w:hAnsi="宋体" w:eastAsia="宋体" w:cs="宋体"/>
                <w:color w:val="FF0000"/>
                <w:sz w:val="24"/>
                <w:szCs w:val="24"/>
                <w:highlight w:val="none"/>
              </w:rPr>
              <w:t>5</w:t>
            </w:r>
            <w:r>
              <w:rPr>
                <w:rFonts w:hint="eastAsia" w:ascii="宋体" w:hAnsi="宋体" w:eastAsia="宋体" w:cs="宋体"/>
                <w:sz w:val="24"/>
                <w:szCs w:val="24"/>
                <w:highlight w:val="none"/>
              </w:rPr>
              <w:t>日内编制完成项目计划和项目组织机构并盖章发给招标方。</w:t>
            </w:r>
          </w:p>
        </w:tc>
      </w:tr>
      <w:bookmarkEnd w:id="3"/>
    </w:tbl>
    <w:p>
      <w:pPr>
        <w:pStyle w:val="17"/>
        <w:numPr>
          <w:ilvl w:val="0"/>
          <w:numId w:val="0"/>
        </w:numPr>
        <w:jc w:val="both"/>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3"/>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5"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5"/>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highlight w:val="none"/>
        </w:rPr>
        <w:t>见《投标须知前附表》。</w:t>
      </w:r>
    </w:p>
    <w:bookmarkEnd w:id="6"/>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w:t>
      </w:r>
      <w:r>
        <w:rPr>
          <w:rFonts w:hint="eastAsia" w:ascii="宋体" w:hAnsi="宋体" w:eastAsia="宋体" w:cs="宋体"/>
          <w:b w:val="0"/>
          <w:bCs w:val="0"/>
          <w:color w:val="000000"/>
          <w:sz w:val="24"/>
          <w:szCs w:val="24"/>
          <w:highlight w:val="none"/>
          <w:lang w:eastAsia="zh-CN"/>
        </w:rPr>
        <w:t>1.1-1.1</w:t>
      </w:r>
      <w:r>
        <w:rPr>
          <w:rFonts w:hint="eastAsia" w:ascii="宋体" w:hAnsi="宋体" w:eastAsia="宋体" w:cs="宋体"/>
          <w:b w:val="0"/>
          <w:bCs w:val="0"/>
          <w:color w:val="000000"/>
          <w:sz w:val="24"/>
          <w:szCs w:val="24"/>
          <w:highlight w:val="none"/>
          <w:lang w:val="en-US" w:eastAsia="zh-CN"/>
        </w:rPr>
        <w:t>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投标人自行勘察现场，进行合理报价。投标总报价应包括表面处理费用、运杂费（包括现场卸车费）、设计、制造、安装、调试（含现场调试）、调试板料费，样件生产及包装运输费、验收、技术及售后服务费、技术资料费、备品备件费、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r>
        <w:rPr>
          <w:rFonts w:hint="eastAsia" w:hAnsi="宋体" w:eastAsia="宋体" w:cs="宋体"/>
          <w:color w:val="000000"/>
          <w:sz w:val="24"/>
          <w:szCs w:val="24"/>
          <w:lang w:val="en-US" w:eastAsia="zh-CN"/>
        </w:rPr>
        <w:t>要求执行，标准中未规定的按设备生产商或生产国国家标准制造。</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yellow"/>
        </w:rPr>
        <w:t>转账附言：公司名称+项目名称+投标保证金</w:t>
      </w:r>
      <w:r>
        <w:rPr>
          <w:rFonts w:hint="eastAsia" w:ascii="宋体" w:hAnsi="宋体" w:eastAsia="宋体" w:cs="宋体"/>
          <w:sz w:val="24"/>
          <w:szCs w:val="24"/>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w:t>
      </w:r>
      <w:r>
        <w:rPr>
          <w:rFonts w:hint="eastAsia" w:ascii="宋体" w:hAnsi="宋体" w:eastAsia="宋体" w:cs="宋体"/>
          <w:color w:val="000000"/>
          <w:sz w:val="24"/>
          <w:szCs w:val="24"/>
        </w:rPr>
        <w:t>供应商在提交响应文件截止时间后撤回响应文件的</w:t>
      </w:r>
    </w:p>
    <w:p>
      <w:pPr>
        <w:pStyle w:val="119"/>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.3.2.4若为视频开标，招标过程中澄清函等资料原件未按要求提交的；</w:t>
      </w:r>
    </w:p>
    <w:p>
      <w:pPr>
        <w:pStyle w:val="119"/>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eastAsia="宋体" w:cs="宋体"/>
          <w:highlight w:val="none"/>
          <w:lang w:val="en-US" w:eastAsia="zh-CN"/>
        </w:rPr>
        <w:t>5</w:t>
      </w:r>
      <w:r>
        <w:rPr>
          <w:rFonts w:hint="eastAsia" w:ascii="宋体" w:hAnsi="宋体" w:eastAsia="宋体" w:cs="宋体"/>
          <w:color w:val="000000"/>
          <w:sz w:val="24"/>
          <w:szCs w:val="24"/>
          <w:highlight w:val="none"/>
        </w:rPr>
        <w:t>除因不可抗力或谈判文件、询价通知书认可的情形以外，成交供应商不与采购人签订合同的</w:t>
      </w:r>
      <w:r>
        <w:rPr>
          <w:rFonts w:hint="eastAsia" w:ascii="宋体" w:hAnsi="宋体" w:eastAsia="宋体" w:cs="宋体"/>
          <w:sz w:val="24"/>
          <w:szCs w:val="24"/>
          <w:highlight w:val="none"/>
        </w:rPr>
        <w:t>；</w:t>
      </w:r>
    </w:p>
    <w:p>
      <w:pPr>
        <w:pStyle w:val="119"/>
        <w:spacing w:line="360" w:lineRule="auto"/>
        <w:ind w:firstLine="480"/>
        <w:rPr>
          <w:rFonts w:hint="eastAsia" w:ascii="宋体" w:hAnsi="宋体" w:eastAsia="宋体" w:cs="宋体"/>
          <w:sz w:val="24"/>
          <w:szCs w:val="24"/>
          <w:highlight w:val="none"/>
        </w:rPr>
      </w:pPr>
      <w:r>
        <w:rPr>
          <w:rFonts w:hint="eastAsia" w:eastAsia="宋体" w:cs="宋体"/>
          <w:highlight w:val="none"/>
        </w:rPr>
        <w:t>4.3.2.</w:t>
      </w:r>
      <w:r>
        <w:rPr>
          <w:rFonts w:hint="eastAsia" w:eastAsia="宋体" w:cs="宋体"/>
          <w:sz w:val="24"/>
          <w:szCs w:val="24"/>
          <w:highlight w:val="none"/>
          <w:lang w:val="en-US" w:eastAsia="zh-CN"/>
        </w:rPr>
        <w:t>6</w:t>
      </w:r>
      <w:r>
        <w:rPr>
          <w:rFonts w:hint="eastAsia" w:ascii="宋体" w:hAnsi="宋体" w:eastAsia="宋体" w:cs="宋体"/>
          <w:color w:val="000000"/>
          <w:sz w:val="24"/>
          <w:szCs w:val="24"/>
          <w:highlight w:val="none"/>
        </w:rPr>
        <w:t>供应商在响应文件中提供虚假材料的</w:t>
      </w:r>
      <w:r>
        <w:rPr>
          <w:rFonts w:hint="eastAsia" w:eastAsia="宋体" w:cs="宋体"/>
          <w:highlight w:val="none"/>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w:t>
      </w:r>
      <w:r>
        <w:rPr>
          <w:rFonts w:hint="eastAsia" w:ascii="宋体" w:hAnsi="宋体" w:eastAsia="宋体" w:cs="宋体"/>
          <w:color w:val="000000"/>
          <w:sz w:val="24"/>
          <w:szCs w:val="24"/>
        </w:rPr>
        <w:t>应商与采购人、其他供应商或者采购代理机构恶意串通、围标、陪标的</w:t>
      </w:r>
      <w:r>
        <w:rPr>
          <w:rFonts w:hint="eastAsia" w:ascii="宋体" w:hAnsi="宋体" w:eastAsia="宋体" w:cs="宋体"/>
          <w:sz w:val="24"/>
          <w:szCs w:val="24"/>
        </w:rPr>
        <w:t>；</w:t>
      </w:r>
    </w:p>
    <w:p>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4.3.2.9</w:t>
      </w:r>
      <w:r>
        <w:rPr>
          <w:rFonts w:hint="eastAsia" w:ascii="宋体" w:hAnsi="宋体" w:eastAsia="宋体" w:cs="宋体"/>
          <w:color w:val="000000"/>
          <w:sz w:val="24"/>
          <w:szCs w:val="24"/>
        </w:rPr>
        <w:t>采购文件规定的其他情形。</w:t>
      </w:r>
    </w:p>
    <w:p>
      <w:pPr>
        <w:pStyle w:val="119"/>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9"/>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lang w:val="en-US"/>
        </w:rPr>
      </w:pPr>
      <w:r>
        <w:rPr>
          <w:rFonts w:hint="eastAsia" w:ascii="宋体" w:hAnsi="宋体" w:eastAsia="宋体" w:cs="宋体"/>
          <w:color w:val="000000"/>
          <w:sz w:val="24"/>
          <w:szCs w:val="24"/>
          <w:highlight w:val="yellow"/>
          <w:lang w:val="en-US"/>
        </w:rPr>
        <w:t>满足国务院、政府及招标人公司最新防疫政策要求，</w:t>
      </w: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rPr>
        <w:t>其他情况请选择视频</w:t>
      </w:r>
      <w:r>
        <w:rPr>
          <w:rFonts w:hint="eastAsia" w:ascii="宋体" w:hAnsi="宋体" w:eastAsia="宋体" w:cs="宋体"/>
          <w:color w:val="000000"/>
          <w:sz w:val="24"/>
          <w:szCs w:val="24"/>
          <w:highlight w:val="yellow"/>
        </w:rPr>
        <w:t>参与</w:t>
      </w:r>
      <w:r>
        <w:rPr>
          <w:rFonts w:hint="eastAsia" w:ascii="宋体" w:hAnsi="宋体" w:eastAsia="宋体" w:cs="宋体"/>
          <w:color w:val="000000"/>
          <w:sz w:val="24"/>
          <w:szCs w:val="24"/>
          <w:highlight w:val="yellow"/>
          <w:lang w:val="en-US" w:eastAsia="zh-CN"/>
        </w:rPr>
        <w:t>开标，</w:t>
      </w:r>
      <w:r>
        <w:rPr>
          <w:rFonts w:hint="eastAsia" w:ascii="宋体" w:hAnsi="宋体" w:eastAsia="宋体" w:cs="宋体"/>
          <w:color w:val="000000"/>
          <w:sz w:val="24"/>
          <w:szCs w:val="24"/>
          <w:highlight w:val="yellow"/>
        </w:rPr>
        <w:t>视频链接会在报名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7" w:name="_Toc33285487"/>
      <w:bookmarkStart w:id="8" w:name="_Toc33265653"/>
      <w:bookmarkStart w:id="9" w:name="_Toc33266914"/>
      <w:bookmarkStart w:id="10" w:name="_Toc33265752"/>
      <w:bookmarkStart w:id="11" w:name="_Toc33266950"/>
      <w:bookmarkStart w:id="12" w:name="_Toc33267001"/>
      <w:bookmarkStart w:id="13" w:name="_Toc33266627"/>
      <w:r>
        <w:rPr>
          <w:rFonts w:hint="eastAsia" w:ascii="宋体" w:hAnsi="宋体" w:eastAsia="宋体" w:cs="宋体"/>
          <w:b/>
          <w:bCs w:val="0"/>
          <w:sz w:val="24"/>
          <w:szCs w:val="24"/>
        </w:rPr>
        <w:t>六、评价原则</w:t>
      </w:r>
      <w:bookmarkEnd w:id="7"/>
      <w:bookmarkEnd w:id="8"/>
      <w:bookmarkEnd w:id="9"/>
      <w:bookmarkEnd w:id="10"/>
      <w:bookmarkEnd w:id="11"/>
      <w:bookmarkEnd w:id="12"/>
      <w:bookmarkEnd w:id="13"/>
      <w:bookmarkStart w:id="14" w:name="_Toc395116633"/>
    </w:p>
    <w:bookmarkEnd w:id="14"/>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bookmarkStart w:id="15" w:name="_Toc33285489"/>
      <w:bookmarkStart w:id="16" w:name="_Toc33265654"/>
      <w:bookmarkStart w:id="17" w:name="_Toc395116634"/>
      <w:bookmarkStart w:id="18" w:name="_Toc33266628"/>
      <w:bookmarkStart w:id="19" w:name="_Toc33266915"/>
      <w:bookmarkStart w:id="20" w:name="_Toc33265753"/>
      <w:bookmarkStart w:id="21" w:name="_Toc33267002"/>
      <w:bookmarkStart w:id="22" w:name="_Toc33266951"/>
      <w:r>
        <w:rPr>
          <w:rFonts w:hint="eastAsia" w:ascii="宋体" w:hAnsi="宋体" w:eastAsia="宋体" w:cs="宋体"/>
          <w:sz w:val="24"/>
          <w:szCs w:val="24"/>
        </w:rPr>
        <w:t>本次招标采用</w:t>
      </w:r>
      <w:r>
        <w:rPr>
          <w:rFonts w:hint="eastAsia" w:ascii="宋体" w:hAnsi="宋体" w:eastAsia="宋体" w:cs="宋体"/>
          <w:b/>
          <w:bCs/>
          <w:sz w:val="24"/>
          <w:szCs w:val="24"/>
        </w:rPr>
        <w:t>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本着公平、公正、公开的原则，选择合理最低价确定中标人</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资质标评审：资质标审核通过的单位，可以进入公开唱标环节；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highlight w:val="red"/>
        </w:rPr>
        <w:t>注意：投标人均需要自带笔记本电脑在重汽e采通进行自主投标和提交澄清函；投标和提交澄清函均有时间限制，超时未提交的按无效处理。</w:t>
      </w:r>
    </w:p>
    <w:p>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rPr>
        <w:t>合理最低价</w:t>
      </w:r>
      <w:r>
        <w:rPr>
          <w:rFonts w:hint="eastAsia" w:ascii="宋体" w:hAnsi="宋体" w:eastAsia="宋体" w:cs="宋体"/>
          <w:b/>
          <w:sz w:val="24"/>
          <w:szCs w:val="24"/>
        </w:rPr>
        <w:t>中标。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（2）投标人在报价有效期内撤回投标；</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（4）投标人以任何方式诋毁其他投标人；</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（5）投标人串通投标；</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pStyle w:val="17"/>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未按照招标人规定的时间内在中国重汽e采通完成投标的；</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）投标人报价均超过采购预算的；</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7"/>
      <w:bookmarkStart w:id="24" w:name="OLE_LINK29"/>
      <w:bookmarkStart w:id="25" w:name="OLE_LINK25"/>
      <w:bookmarkStart w:id="26" w:name="OLE_LINK26"/>
      <w:bookmarkStart w:id="27" w:name="OLE_LINK28"/>
      <w:r>
        <w:rPr>
          <w:rFonts w:hint="eastAsia" w:ascii="宋体" w:hAnsi="宋体" w:eastAsia="宋体" w:cs="宋体"/>
          <w:bCs/>
          <w:sz w:val="24"/>
          <w:szCs w:val="24"/>
        </w:rPr>
        <w:t>；</w:t>
      </w:r>
      <w:bookmarkEnd w:id="23"/>
      <w:bookmarkEnd w:id="24"/>
      <w:bookmarkEnd w:id="25"/>
      <w:bookmarkEnd w:id="26"/>
      <w:bookmarkEnd w:id="27"/>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重汽（济南）轻卡有限公司</w:t>
      </w:r>
      <w:r>
        <w:rPr>
          <w:rFonts w:hint="eastAsia" w:ascii="宋体" w:hAnsi="宋体" w:eastAsia="宋体" w:cs="宋体"/>
          <w:b/>
          <w:color w:val="000000"/>
          <w:sz w:val="24"/>
          <w:szCs w:val="24"/>
        </w:rPr>
        <w:t>。</w:t>
      </w:r>
    </w:p>
    <w:p>
      <w:pPr>
        <w:pStyle w:val="17"/>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28"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8"/>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red"/>
        </w:rPr>
        <w:t>被授权人</w:t>
      </w:r>
      <w:r>
        <w:rPr>
          <w:rFonts w:hint="eastAsia" w:ascii="宋体" w:hAnsi="宋体" w:eastAsia="宋体" w:cs="宋体"/>
          <w:kern w:val="0"/>
          <w:sz w:val="24"/>
          <w:szCs w:val="24"/>
          <w:highlight w:val="red"/>
          <w:lang w:bidi="en-US"/>
        </w:rPr>
        <w:t>近</w:t>
      </w:r>
      <w:r>
        <w:rPr>
          <w:rFonts w:hint="eastAsia" w:ascii="宋体" w:hAnsi="宋体" w:eastAsia="宋体" w:cs="宋体"/>
          <w:kern w:val="0"/>
          <w:sz w:val="24"/>
          <w:szCs w:val="24"/>
          <w:highlight w:val="red"/>
          <w:lang w:val="en-US" w:eastAsia="zh-CN" w:bidi="en-US"/>
        </w:rPr>
        <w:t>6</w:t>
      </w:r>
      <w:r>
        <w:rPr>
          <w:rFonts w:hint="eastAsia" w:ascii="宋体" w:hAnsi="宋体" w:eastAsia="宋体" w:cs="宋体"/>
          <w:kern w:val="0"/>
          <w:sz w:val="24"/>
          <w:szCs w:val="24"/>
          <w:highlight w:val="red"/>
          <w:lang w:bidi="en-US"/>
        </w:rPr>
        <w:t>个月</w:t>
      </w:r>
      <w:r>
        <w:rPr>
          <w:rFonts w:hint="eastAsia" w:ascii="宋体" w:hAnsi="宋体" w:eastAsia="宋体" w:cs="宋体"/>
          <w:kern w:val="0"/>
          <w:sz w:val="24"/>
          <w:szCs w:val="24"/>
          <w:highlight w:val="red"/>
          <w:lang w:val="en-US" w:eastAsia="zh-CN" w:bidi="en-US"/>
        </w:rPr>
        <w:t>及以上</w:t>
      </w:r>
      <w:r>
        <w:rPr>
          <w:rFonts w:hint="eastAsia" w:ascii="宋体" w:hAnsi="宋体" w:eastAsia="宋体" w:cs="宋体"/>
          <w:kern w:val="0"/>
          <w:sz w:val="24"/>
          <w:szCs w:val="24"/>
          <w:highlight w:val="red"/>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1.4经会计师事务所审计且出具无保留意见的近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年的财务审计报告，并加盖公章，包括但不限于报告页、经审计的资产负债表、利润表、现金流量表及报表附注</w:t>
      </w:r>
      <w:r>
        <w:rPr>
          <w:rFonts w:hint="eastAsia" w:ascii="宋体" w:hAnsi="宋体" w:eastAsia="宋体" w:cs="宋体"/>
          <w:color w:val="000000"/>
          <w:sz w:val="24"/>
          <w:szCs w:val="24"/>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lang w:eastAsia="zh-CN"/>
        </w:rPr>
        <w:t>年</w:t>
      </w:r>
      <w:r>
        <w:rPr>
          <w:rFonts w:hint="eastAsia" w:ascii="宋体" w:hAnsi="宋体" w:eastAsia="宋体" w:cs="宋体"/>
          <w:color w:val="000000"/>
          <w:sz w:val="24"/>
          <w:szCs w:val="24"/>
        </w:rPr>
        <w:t>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1.7企业对外担保说明（写投标人对外有无对外担保和质押业务，需加盖公章）；</w:t>
      </w:r>
    </w:p>
    <w:p>
      <w:pPr>
        <w:spacing w:line="360" w:lineRule="auto"/>
        <w:ind w:firstLine="480" w:firstLineChars="200"/>
        <w:rPr>
          <w:rFonts w:hint="eastAsia"/>
        </w:rPr>
      </w:pPr>
      <w:r>
        <w:rPr>
          <w:rFonts w:hint="eastAsia" w:ascii="宋体" w:hAnsi="宋体" w:eastAsia="宋体" w:cs="宋体"/>
          <w:color w:val="000000"/>
          <w:sz w:val="24"/>
          <w:szCs w:val="24"/>
          <w:highlight w:val="none"/>
          <w:lang w:val="en-US" w:eastAsia="zh-CN"/>
        </w:rPr>
        <w:t>1.8企业信用证明材料（征信报告）；</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代理商投标要携带生产商的授权书、原厂售后服务承诺书，根据实际情况提供即可，无格式限制；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企业最近半年的完税证明、年度纳税信用评价信息（可从电子税务局查询截图，</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2020年1月1日至今，企业近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年同类项目业绩证明；</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有效期内的生产许可证（实行生产许可制度的企业提供）加盖公章</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产品鉴定证书（如需）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质量体系认证证书（如需）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产品和主要元器件“CCC”认证证书（如需）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产品的检测、检验报告复印件（如有，需权威部门出具）</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1.18</w:t>
      </w:r>
      <w:r>
        <w:rPr>
          <w:rFonts w:hint="eastAsia" w:ascii="宋体" w:hAnsi="宋体" w:eastAsia="宋体" w:cs="宋体"/>
          <w:color w:val="000000"/>
          <w:sz w:val="24"/>
          <w:szCs w:val="24"/>
        </w:rPr>
        <w:t xml:space="preserve"> 招标文件要求的其它必要资格文件</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投标方认为对其投标有利的其他资料</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20</w:t>
      </w:r>
      <w:r>
        <w:rPr>
          <w:rFonts w:hint="eastAsia" w:ascii="宋体" w:hAnsi="宋体" w:eastAsia="宋体" w:cs="宋体"/>
          <w:color w:val="000000"/>
          <w:sz w:val="24"/>
          <w:szCs w:val="24"/>
        </w:rPr>
        <w:t>投标保证金缴纳凭证。</w:t>
      </w:r>
    </w:p>
    <w:p>
      <w:pPr>
        <w:spacing w:line="360" w:lineRule="auto"/>
        <w:ind w:firstLine="482" w:firstLineChars="200"/>
        <w:rPr>
          <w:rFonts w:hint="eastAsia" w:ascii="宋体" w:hAnsi="宋体" w:eastAsia="宋体" w:cs="宋体"/>
          <w:b/>
          <w:bCs/>
          <w:sz w:val="24"/>
          <w:szCs w:val="24"/>
          <w:highlight w:val="none"/>
        </w:rPr>
      </w:pPr>
      <w:bookmarkStart w:id="29"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9"/>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val="0"/>
          <w:color w:val="000000"/>
          <w:sz w:val="24"/>
          <w:szCs w:val="24"/>
        </w:rPr>
        <w:t>2.</w:t>
      </w:r>
      <w:r>
        <w:rPr>
          <w:rFonts w:hint="eastAsia" w:ascii="宋体" w:hAnsi="宋体" w:eastAsia="宋体" w:cs="宋体"/>
          <w:bCs w:val="0"/>
          <w:color w:val="000000"/>
          <w:sz w:val="24"/>
          <w:szCs w:val="24"/>
          <w:lang w:val="en-US" w:eastAsia="zh-CN"/>
        </w:rPr>
        <w:t>2</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eastAsia="zh-CN"/>
        </w:rPr>
        <w:t>2020年1月1日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30"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投标产品技术支持材料</w:t>
      </w:r>
      <w:bookmarkEnd w:id="30"/>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CN"/>
        </w:rPr>
        <w:t>，</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9"/>
      <w:bookmarkStart w:id="32" w:name="OLE_LINK18"/>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strike w:val="0"/>
          <w:color w:val="000000"/>
          <w:sz w:val="24"/>
          <w:szCs w:val="24"/>
          <w:highlight w:val="none"/>
        </w:rPr>
      </w:pPr>
      <w:r>
        <w:rPr>
          <w:rFonts w:hint="eastAsia" w:ascii="宋体" w:hAnsi="宋体" w:eastAsia="宋体" w:cs="宋体"/>
          <w:strike w:val="0"/>
          <w:color w:val="000000"/>
          <w:sz w:val="24"/>
          <w:szCs w:val="24"/>
          <w:highlight w:val="none"/>
        </w:rPr>
        <w:t>3.6按招标文件投标人须知和技术规格书中要求提供的有关文件。</w:t>
      </w:r>
    </w:p>
    <w:p>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highlight w:val="yellow"/>
        </w:rPr>
        <w:t>原则上，投标方或中标方的自制产线、工装、钢结构等非标项，需提供图纸或简易图纸；分项报价中需明确：规格型号、材质、重量、数量、品牌、价格等信息，注明是否包含加工费等其他费用；投标方或中标方采购的产品或标准件类产品，需明确规范规格型号（如订货号）、品牌、数量、价格等信息；以上信息供价值工程部核价使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注：招标文件给定格式的按给定的格式填写，未给定格式的，由投标方自行编制，但需包含以上内容。</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3"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3"/>
    </w:p>
    <w:p>
      <w:pPr>
        <w:pStyle w:val="17"/>
      </w:pPr>
    </w:p>
    <w:p>
      <w:pPr>
        <w:keepNext/>
        <w:keepLines/>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重汽（济南）轻卡有限公司</w:t>
      </w:r>
    </w:p>
    <w:p>
      <w:pPr>
        <w:spacing w:line="276" w:lineRule="auto"/>
        <w:jc w:val="center"/>
        <w:rPr>
          <w:rFonts w:hint="eastAsia" w:ascii="Calibri" w:hAnsi="宋体" w:eastAsia="宋体" w:cs="Times New Roman"/>
          <w:b/>
          <w:bCs/>
          <w:color w:val="000000"/>
          <w:spacing w:val="-8"/>
          <w:sz w:val="48"/>
          <w:szCs w:val="44"/>
          <w:highlight w:val="yellow"/>
          <w:lang w:eastAsia="zh-CN"/>
        </w:rPr>
      </w:pPr>
      <w:r>
        <w:rPr>
          <w:rFonts w:hint="eastAsia" w:ascii="Calibri" w:hAnsi="宋体" w:eastAsia="宋体" w:cs="Times New Roman"/>
          <w:b/>
          <w:bCs/>
          <w:color w:val="000000"/>
          <w:spacing w:val="-8"/>
          <w:sz w:val="48"/>
          <w:szCs w:val="44"/>
          <w:highlight w:val="none"/>
          <w:lang w:val="en-US" w:eastAsia="zh-CN"/>
        </w:rPr>
        <w:t>定值拧紧设备</w:t>
      </w:r>
      <w:r>
        <w:rPr>
          <w:rFonts w:hint="eastAsia" w:ascii="Calibri" w:hAnsi="宋体" w:eastAsia="宋体" w:cs="Times New Roman"/>
          <w:b/>
          <w:bCs/>
          <w:color w:val="000000"/>
          <w:spacing w:val="-8"/>
          <w:sz w:val="48"/>
          <w:szCs w:val="44"/>
          <w:highlight w:val="none"/>
          <w:lang w:eastAsia="zh-CN"/>
        </w:rPr>
        <w:t>项目</w:t>
      </w:r>
    </w:p>
    <w:p>
      <w:pPr>
        <w:spacing w:line="276" w:lineRule="auto"/>
        <w:jc w:val="center"/>
        <w:rPr>
          <w:rFonts w:ascii="Calibri" w:hAnsi="Calibri" w:eastAsia="宋体" w:cs="Times New Roman"/>
          <w:b/>
          <w:bCs/>
          <w:color w:val="000000"/>
          <w:spacing w:val="-8"/>
          <w:sz w:val="48"/>
          <w:szCs w:val="44"/>
        </w:rPr>
      </w:pP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7"/>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7"/>
        <w:rPr>
          <w:b/>
          <w:bCs/>
        </w:rPr>
      </w:pPr>
    </w:p>
    <w:p>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重汽（济南）轻卡有限公司</w:t>
      </w:r>
    </w:p>
    <w:p>
      <w:pPr>
        <w:jc w:val="center"/>
        <w:rPr>
          <w:rFonts w:ascii="Calibri" w:hAnsi="Calibri" w:eastAsia="宋体" w:cs="Times New Roman"/>
          <w:color w:val="000000"/>
          <w:sz w:val="28"/>
          <w:szCs w:val="28"/>
          <w:highlight w:val="none"/>
        </w:rPr>
      </w:pPr>
    </w:p>
    <w:p>
      <w:pPr>
        <w:jc w:val="center"/>
        <w:rPr>
          <w:rFonts w:ascii="Calibri" w:hAnsi="Calibri" w:eastAsia="宋体" w:cs="Times New Roman"/>
          <w:b/>
          <w:bCs/>
          <w:kern w:val="44"/>
          <w:sz w:val="36"/>
          <w:szCs w:val="44"/>
          <w:highlight w:val="red"/>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4</w:t>
      </w:r>
      <w:r>
        <w:rPr>
          <w:rFonts w:hint="eastAsia" w:ascii="宋体" w:hAnsi="宋体"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1</w:t>
      </w:r>
      <w:r>
        <w:rPr>
          <w:rFonts w:hint="eastAsia" w:ascii="Calibri" w:hAnsi="Calibri" w:eastAsia="宋体" w:cs="Times New Roman"/>
          <w:color w:val="000000"/>
          <w:sz w:val="28"/>
          <w:szCs w:val="28"/>
          <w:highlight w:val="none"/>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pStyle w:val="3"/>
        <w:tabs>
          <w:tab w:val="right" w:leader="dot" w:pos="9061"/>
        </w:tabs>
        <w:spacing w:line="360" w:lineRule="auto"/>
        <w:ind w:left="0"/>
        <w:jc w:val="both"/>
        <w:rPr>
          <w:color w:val="auto"/>
          <w:highlight w:val="none"/>
        </w:rPr>
      </w:pPr>
      <w:bookmarkStart w:id="34" w:name="_Toc26347"/>
      <w:r>
        <w:rPr>
          <w:rFonts w:hint="eastAsia"/>
          <w:color w:val="auto"/>
          <w:highlight w:val="none"/>
        </w:rPr>
        <w:t>一、标的物用途</w:t>
      </w:r>
    </w:p>
    <w:p>
      <w:pPr>
        <w:spacing w:line="360" w:lineRule="auto"/>
        <w:ind w:firstLine="480" w:firstLineChars="200"/>
        <w:jc w:val="both"/>
        <w:rPr>
          <w:rFonts w:hint="eastAsia" w:ascii="宋体" w:hAnsi="宋体" w:eastAsia="宋体"/>
          <w:bCs/>
          <w:color w:val="auto"/>
          <w:sz w:val="24"/>
          <w:szCs w:val="24"/>
          <w:highlight w:val="none"/>
          <w:lang w:eastAsia="zh-CN"/>
        </w:rPr>
      </w:pPr>
      <w:r>
        <w:rPr>
          <w:rFonts w:hint="eastAsia" w:ascii="宋体" w:hAnsi="宋体" w:eastAsia="宋体" w:cs="宋体"/>
          <w:color w:val="000000"/>
          <w:sz w:val="24"/>
          <w:szCs w:val="24"/>
        </w:rPr>
        <w:t>用于重汽(济南)轻卡有限公司所有皮卡整车</w:t>
      </w:r>
      <w:r>
        <w:rPr>
          <w:rFonts w:hint="eastAsia" w:ascii="宋体" w:hAnsi="宋体" w:eastAsia="宋体" w:cs="宋体"/>
          <w:color w:val="000000"/>
          <w:sz w:val="24"/>
          <w:szCs w:val="24"/>
          <w:lang w:val="en-US" w:eastAsia="zh-CN"/>
        </w:rPr>
        <w:t>下线调整</w:t>
      </w:r>
      <w:r>
        <w:rPr>
          <w:rFonts w:hint="eastAsia" w:asciiTheme="minorEastAsia" w:hAnsiTheme="minorEastAsia"/>
          <w:color w:val="auto"/>
          <w:sz w:val="24"/>
          <w:szCs w:val="24"/>
          <w:highlight w:val="none"/>
          <w:lang w:eastAsia="zh-CN"/>
        </w:rPr>
        <w:t>。</w:t>
      </w:r>
    </w:p>
    <w:p>
      <w:pPr>
        <w:pStyle w:val="3"/>
        <w:keepNext/>
        <w:keepLines/>
        <w:spacing w:line="360" w:lineRule="auto"/>
        <w:ind w:left="0"/>
        <w:jc w:val="both"/>
        <w:rPr>
          <w:color w:val="auto"/>
          <w:highlight w:val="none"/>
        </w:rPr>
      </w:pPr>
      <w:r>
        <w:rPr>
          <w:rFonts w:hint="eastAsia" w:ascii="宋体" w:hAnsi="宋体"/>
          <w:color w:val="auto"/>
          <w:highlight w:val="none"/>
        </w:rPr>
        <w:t>二、</w:t>
      </w:r>
      <w:r>
        <w:rPr>
          <w:rFonts w:hint="eastAsia"/>
          <w:color w:val="auto"/>
          <w:highlight w:val="none"/>
        </w:rPr>
        <w:t>标的物使用环境</w:t>
      </w:r>
    </w:p>
    <w:p>
      <w:pPr>
        <w:spacing w:line="360" w:lineRule="auto"/>
        <w:ind w:firstLine="480" w:firstLineChars="200"/>
        <w:jc w:val="both"/>
        <w:rPr>
          <w:rFonts w:hint="eastAsia" w:ascii="宋体" w:hAnsi="宋体"/>
          <w:bCs/>
          <w:color w:val="auto"/>
          <w:sz w:val="24"/>
          <w:szCs w:val="24"/>
          <w:highlight w:val="none"/>
        </w:rPr>
      </w:pPr>
      <w:r>
        <w:rPr>
          <w:rFonts w:hint="eastAsia" w:ascii="宋体" w:hAnsi="宋体"/>
          <w:bCs/>
          <w:color w:val="auto"/>
          <w:sz w:val="24"/>
          <w:szCs w:val="24"/>
          <w:highlight w:val="none"/>
        </w:rPr>
        <w:t>1.项目名称：</w:t>
      </w:r>
      <w:r>
        <w:rPr>
          <w:rFonts w:hint="eastAsia" w:cs="Times New Roman" w:asciiTheme="minorEastAsia" w:hAnsiTheme="minorEastAsia"/>
          <w:sz w:val="24"/>
          <w:szCs w:val="24"/>
          <w:highlight w:val="none"/>
          <w:lang w:val="en-US" w:eastAsia="zh-CN"/>
        </w:rPr>
        <w:t>定值拧紧工具</w:t>
      </w:r>
      <w:r>
        <w:rPr>
          <w:rFonts w:hint="eastAsia" w:cs="Times New Roman" w:asciiTheme="minorEastAsia" w:hAnsiTheme="minorEastAsia"/>
          <w:sz w:val="24"/>
          <w:szCs w:val="24"/>
          <w:highlight w:val="none"/>
        </w:rPr>
        <w:t>项目</w:t>
      </w:r>
    </w:p>
    <w:p>
      <w:pPr>
        <w:spacing w:line="360" w:lineRule="auto"/>
        <w:ind w:firstLine="480" w:firstLineChars="200"/>
        <w:jc w:val="both"/>
        <w:rPr>
          <w:rFonts w:hint="eastAsia" w:ascii="Times New Roman" w:hAnsi="Times New Roman" w:eastAsia="宋体"/>
          <w:bCs w:val="0"/>
          <w:color w:val="auto"/>
          <w:sz w:val="24"/>
          <w:szCs w:val="24"/>
          <w:highlight w:val="none"/>
          <w:lang w:val="en-US" w:eastAsia="zh-CN"/>
        </w:rPr>
      </w:pPr>
      <w:r>
        <w:rPr>
          <w:rFonts w:hint="eastAsia" w:ascii="宋体" w:hAnsi="宋体"/>
          <w:bCs/>
          <w:color w:val="auto"/>
          <w:sz w:val="24"/>
          <w:szCs w:val="24"/>
          <w:highlight w:val="none"/>
        </w:rPr>
        <w:t>2.</w:t>
      </w:r>
      <w:r>
        <w:rPr>
          <w:rFonts w:hint="eastAsia"/>
          <w:color w:val="auto"/>
          <w:sz w:val="24"/>
          <w:szCs w:val="24"/>
          <w:highlight w:val="none"/>
        </w:rPr>
        <w:t>产能规划：</w:t>
      </w:r>
      <w:r>
        <w:rPr>
          <w:rFonts w:hint="eastAsia" w:ascii="宋体" w:hAnsi="宋体"/>
          <w:bCs/>
          <w:color w:val="auto"/>
          <w:sz w:val="24"/>
          <w:szCs w:val="24"/>
          <w:highlight w:val="none"/>
        </w:rPr>
        <w:t>皮卡5万辆/年</w:t>
      </w:r>
      <w:r>
        <w:rPr>
          <w:rFonts w:hint="eastAsia" w:ascii="Times New Roman" w:hAnsi="Times New Roman"/>
          <w:b w:val="0"/>
          <w:bCs w:val="0"/>
          <w:color w:val="0D0D0D" w:themeColor="text1" w:themeTint="F2"/>
          <w:sz w:val="24"/>
          <w:szCs w:val="24"/>
          <w:highlight w:val="none"/>
          <w:lang w:eastAsia="zh-CN"/>
          <w14:textFill>
            <w14:solidFill>
              <w14:schemeClr w14:val="tx1">
                <w14:lumMod w14:val="95000"/>
                <w14:lumOff w14:val="5000"/>
              </w14:schemeClr>
            </w14:solidFill>
          </w14:textFill>
        </w:rPr>
        <w:t>，</w:t>
      </w:r>
      <w:r>
        <w:rPr>
          <w:rFonts w:hint="eastAsia" w:ascii="Times New Roman" w:hAnsi="Times New Roman"/>
          <w:b w:val="0"/>
          <w:bCs w:val="0"/>
          <w:color w:val="0D0D0D" w:themeColor="text1" w:themeTint="F2"/>
          <w:sz w:val="24"/>
          <w:szCs w:val="24"/>
          <w:highlight w:val="none"/>
          <w:lang w:val="en-US" w:eastAsia="zh-CN"/>
          <w14:textFill>
            <w14:solidFill>
              <w14:schemeClr w14:val="tx1">
                <w14:lumMod w14:val="95000"/>
                <w14:lumOff w14:val="5000"/>
              </w14:schemeClr>
            </w14:solidFill>
          </w14:textFill>
        </w:rPr>
        <w:t>满足</w:t>
      </w:r>
      <w:r>
        <w:rPr>
          <w:rFonts w:hint="eastAsia" w:asciiTheme="majorEastAsia" w:hAnsiTheme="majorEastAsia" w:eastAsiaTheme="majorEastAsia" w:cstheme="majorEastAsia"/>
          <w:b w:val="0"/>
          <w:bCs w:val="0"/>
          <w:color w:val="0D0D0D" w:themeColor="text1" w:themeTint="F2"/>
          <w:sz w:val="24"/>
          <w:szCs w:val="24"/>
          <w:highlight w:val="none"/>
          <w:lang w:val="en-US" w:eastAsia="zh-CN"/>
          <w14:textFill>
            <w14:solidFill>
              <w14:schemeClr w14:val="tx1">
                <w14:lumMod w14:val="95000"/>
                <w14:lumOff w14:val="5000"/>
              </w14:schemeClr>
            </w14:solidFill>
          </w14:textFill>
        </w:rPr>
        <w:t>12JPH</w:t>
      </w:r>
      <w:r>
        <w:rPr>
          <w:rFonts w:hint="eastAsia" w:ascii="Times New Roman" w:hAnsi="Times New Roman"/>
          <w:b w:val="0"/>
          <w:bCs w:val="0"/>
          <w:color w:val="0D0D0D" w:themeColor="text1" w:themeTint="F2"/>
          <w:sz w:val="24"/>
          <w:szCs w:val="24"/>
          <w:highlight w:val="none"/>
          <w:lang w:val="en-US" w:eastAsia="zh-CN"/>
          <w14:textFill>
            <w14:solidFill>
              <w14:schemeClr w14:val="tx1">
                <w14:lumMod w14:val="95000"/>
                <w14:lumOff w14:val="5000"/>
              </w14:schemeClr>
            </w14:solidFill>
          </w14:textFill>
        </w:rPr>
        <w:t>节拍生产要求。</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rPr>
        <w:t>3</w:t>
      </w:r>
      <w:r>
        <w:rPr>
          <w:rFonts w:ascii="宋体" w:hAnsi="宋体"/>
          <w:bCs/>
          <w:color w:val="auto"/>
          <w:sz w:val="24"/>
          <w:szCs w:val="24"/>
          <w:highlight w:val="none"/>
        </w:rPr>
        <w:t>.</w:t>
      </w:r>
      <w:r>
        <w:rPr>
          <w:rFonts w:hint="eastAsia" w:ascii="宋体" w:hAnsi="宋体"/>
          <w:bCs/>
          <w:color w:val="auto"/>
          <w:sz w:val="24"/>
          <w:szCs w:val="24"/>
          <w:highlight w:val="none"/>
        </w:rPr>
        <w:t>工作地点：山东济南</w:t>
      </w:r>
    </w:p>
    <w:p>
      <w:pPr>
        <w:spacing w:line="360" w:lineRule="auto"/>
        <w:ind w:firstLine="480" w:firstLineChars="200"/>
        <w:jc w:val="both"/>
        <w:rPr>
          <w:rFonts w:hint="eastAsia" w:ascii="宋体" w:hAnsi="宋体"/>
          <w:color w:val="auto"/>
          <w:sz w:val="24"/>
          <w:szCs w:val="24"/>
          <w:highlight w:val="none"/>
          <w:lang w:val="en-US" w:eastAsia="zh-CN"/>
        </w:rPr>
      </w:pPr>
      <w:r>
        <w:rPr>
          <w:rFonts w:hint="eastAsia" w:ascii="宋体" w:hAnsi="宋体"/>
          <w:bCs/>
          <w:color w:val="auto"/>
          <w:sz w:val="24"/>
          <w:szCs w:val="24"/>
          <w:highlight w:val="none"/>
        </w:rPr>
        <w:t>4</w:t>
      </w:r>
      <w:r>
        <w:rPr>
          <w:rFonts w:ascii="宋体" w:hAnsi="宋体"/>
          <w:bCs/>
          <w:color w:val="auto"/>
          <w:sz w:val="24"/>
          <w:szCs w:val="24"/>
          <w:highlight w:val="none"/>
        </w:rPr>
        <w:t>.</w:t>
      </w:r>
      <w:r>
        <w:rPr>
          <w:rFonts w:hint="eastAsia" w:ascii="宋体" w:hAnsi="宋体"/>
          <w:bCs/>
          <w:color w:val="auto"/>
          <w:sz w:val="24"/>
          <w:szCs w:val="24"/>
          <w:highlight w:val="none"/>
        </w:rPr>
        <w:t>工作制度：</w:t>
      </w:r>
      <w:r>
        <w:rPr>
          <w:rFonts w:hint="eastAsia" w:ascii="宋体" w:hAnsi="宋体"/>
          <w:bCs/>
          <w:color w:val="auto"/>
          <w:sz w:val="24"/>
          <w:szCs w:val="24"/>
          <w:highlight w:val="none"/>
          <w:lang w:eastAsia="zh-CN"/>
        </w:rPr>
        <w:t>每班</w:t>
      </w:r>
      <w:r>
        <w:rPr>
          <w:rFonts w:hint="eastAsia" w:ascii="宋体" w:hAnsi="宋体"/>
          <w:bCs/>
          <w:color w:val="auto"/>
          <w:sz w:val="24"/>
          <w:szCs w:val="24"/>
          <w:highlight w:val="none"/>
          <w:lang w:val="en-US" w:eastAsia="zh-CN"/>
        </w:rPr>
        <w:t>8小时，双班制，251天。极限工况：每班10小时，双班制，300天。</w:t>
      </w:r>
    </w:p>
    <w:p>
      <w:pPr>
        <w:spacing w:line="360" w:lineRule="auto"/>
        <w:ind w:firstLine="48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年时基数：设备年时基数6</w:t>
      </w:r>
      <w:r>
        <w:rPr>
          <w:rFonts w:hint="eastAsia" w:ascii="宋体" w:hAnsi="宋体"/>
          <w:color w:val="auto"/>
          <w:sz w:val="24"/>
          <w:szCs w:val="24"/>
          <w:highlight w:val="none"/>
          <w:lang w:val="en-US" w:eastAsia="zh-CN"/>
        </w:rPr>
        <w:t>0</w:t>
      </w:r>
      <w:r>
        <w:rPr>
          <w:rFonts w:hint="eastAsia" w:ascii="宋体" w:hAnsi="宋体"/>
          <w:color w:val="auto"/>
          <w:sz w:val="24"/>
          <w:szCs w:val="24"/>
          <w:highlight w:val="none"/>
        </w:rPr>
        <w:t>00小时</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w:t>
      </w:r>
      <w:r>
        <w:rPr>
          <w:rFonts w:hint="eastAsia" w:ascii="宋体" w:hAnsi="宋体"/>
          <w:bCs/>
          <w:color w:val="auto"/>
          <w:sz w:val="24"/>
          <w:szCs w:val="24"/>
          <w:highlight w:val="none"/>
        </w:rPr>
        <w:t>使用地点区域自然环境：</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.1.</w:t>
      </w:r>
      <w:r>
        <w:rPr>
          <w:rFonts w:hint="eastAsia" w:ascii="宋体" w:hAnsi="宋体"/>
          <w:bCs/>
          <w:color w:val="auto"/>
          <w:sz w:val="24"/>
          <w:szCs w:val="24"/>
          <w:highlight w:val="none"/>
        </w:rPr>
        <w:t>海拔高度：1000m以下</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.2.</w:t>
      </w:r>
      <w:r>
        <w:rPr>
          <w:rFonts w:hint="eastAsia" w:ascii="宋体" w:hAnsi="宋体"/>
          <w:bCs/>
          <w:color w:val="auto"/>
          <w:sz w:val="24"/>
          <w:szCs w:val="24"/>
          <w:highlight w:val="none"/>
        </w:rPr>
        <w:t>室外温度：-20℃～40℃</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.3.</w:t>
      </w:r>
      <w:r>
        <w:rPr>
          <w:rFonts w:hint="eastAsia" w:ascii="宋体" w:hAnsi="宋体"/>
          <w:bCs/>
          <w:color w:val="auto"/>
          <w:sz w:val="24"/>
          <w:szCs w:val="24"/>
          <w:highlight w:val="none"/>
        </w:rPr>
        <w:t>室内温度：-5℃～45℃</w:t>
      </w:r>
      <w:r>
        <w:rPr>
          <w:rFonts w:hint="eastAsia" w:ascii="宋体" w:hAnsi="宋体"/>
          <w:bCs/>
          <w:color w:val="auto"/>
          <w:sz w:val="24"/>
          <w:szCs w:val="24"/>
          <w:highlight w:val="none"/>
        </w:rPr>
        <w:tab/>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.4.</w:t>
      </w:r>
      <w:r>
        <w:rPr>
          <w:rFonts w:hint="eastAsia" w:ascii="宋体" w:hAnsi="宋体"/>
          <w:bCs/>
          <w:color w:val="auto"/>
          <w:sz w:val="24"/>
          <w:szCs w:val="24"/>
          <w:highlight w:val="none"/>
        </w:rPr>
        <w:t>环境湿度：在20℃时最大湿度为90%</w:t>
      </w:r>
    </w:p>
    <w:p>
      <w:pPr>
        <w:pStyle w:val="3"/>
        <w:keepNext/>
        <w:keepLines/>
        <w:spacing w:line="360" w:lineRule="auto"/>
        <w:ind w:left="0" w:firstLine="480" w:firstLineChars="200"/>
        <w:jc w:val="both"/>
        <w:rPr>
          <w:rFonts w:hint="eastAsia" w:ascii="宋体" w:hAnsi="宋体" w:eastAsia="宋体" w:cs="Times New Roman"/>
          <w:b w:val="0"/>
          <w:bCs/>
          <w:color w:val="auto"/>
          <w:kern w:val="2"/>
          <w:sz w:val="24"/>
          <w:szCs w:val="24"/>
          <w:highlight w:val="none"/>
          <w:lang w:val="en-US" w:eastAsia="zh-CN" w:bidi="ar-SA"/>
        </w:rPr>
      </w:pPr>
      <w:r>
        <w:rPr>
          <w:rFonts w:hint="eastAsia" w:ascii="宋体" w:hAnsi="宋体" w:cs="Times New Roman"/>
          <w:b w:val="0"/>
          <w:bCs/>
          <w:color w:val="auto"/>
          <w:kern w:val="2"/>
          <w:sz w:val="24"/>
          <w:szCs w:val="24"/>
          <w:highlight w:val="none"/>
          <w:lang w:val="en-US" w:eastAsia="zh-CN" w:bidi="ar-SA"/>
        </w:rPr>
        <w:t>7</w:t>
      </w:r>
      <w:r>
        <w:rPr>
          <w:rFonts w:hint="eastAsia" w:ascii="宋体" w:hAnsi="宋体" w:eastAsia="宋体" w:cs="Times New Roman"/>
          <w:b w:val="0"/>
          <w:bCs/>
          <w:color w:val="auto"/>
          <w:kern w:val="2"/>
          <w:sz w:val="24"/>
          <w:szCs w:val="24"/>
          <w:highlight w:val="none"/>
          <w:lang w:val="en-US" w:eastAsia="zh-CN" w:bidi="ar-SA"/>
        </w:rPr>
        <w:t>.电源电压：三相五线制，符合中国制式，供电电压：AC380V±10%，供电频率：50Hz±2%，单相电：AC220V±10%，供电频率：50Hz±2%。</w:t>
      </w:r>
    </w:p>
    <w:p>
      <w:pPr>
        <w:pStyle w:val="3"/>
        <w:keepNext/>
        <w:keepLines/>
        <w:spacing w:line="360" w:lineRule="auto"/>
        <w:ind w:left="0"/>
        <w:jc w:val="both"/>
        <w:rPr>
          <w:rFonts w:hint="eastAsia" w:ascii="宋体" w:hAnsi="宋体"/>
          <w:color w:val="auto"/>
          <w:highlight w:val="none"/>
        </w:rPr>
      </w:pPr>
      <w:r>
        <w:rPr>
          <w:rFonts w:hint="eastAsia" w:ascii="宋体" w:hAnsi="宋体"/>
          <w:color w:val="auto"/>
          <w:highlight w:val="none"/>
        </w:rPr>
        <w:t>三、供货范围</w:t>
      </w:r>
    </w:p>
    <w:p>
      <w:pPr>
        <w:spacing w:line="360" w:lineRule="auto"/>
        <w:ind w:firstLine="480" w:firstLineChars="200"/>
        <w:jc w:val="both"/>
        <w:rPr>
          <w:rFonts w:ascii="宋体" w:hAnsi="宋体"/>
          <w:bCs/>
          <w:sz w:val="24"/>
          <w:szCs w:val="24"/>
          <w:highlight w:val="none"/>
        </w:rPr>
      </w:pPr>
      <w:r>
        <w:rPr>
          <w:rFonts w:hint="eastAsia" w:ascii="宋体" w:hAnsi="宋体"/>
          <w:bCs/>
          <w:sz w:val="24"/>
          <w:szCs w:val="24"/>
          <w:highlight w:val="none"/>
        </w:rPr>
        <w:t>本项目包含下表中</w:t>
      </w:r>
      <w:r>
        <w:rPr>
          <w:rFonts w:hint="eastAsia" w:ascii="宋体" w:hAnsi="宋体"/>
          <w:bCs/>
          <w:sz w:val="24"/>
          <w:szCs w:val="24"/>
          <w:highlight w:val="none"/>
          <w:lang w:val="en-US" w:eastAsia="zh-CN"/>
        </w:rPr>
        <w:t>定值拧紧工具</w:t>
      </w:r>
      <w:r>
        <w:rPr>
          <w:rFonts w:hint="eastAsia" w:ascii="宋体" w:hAnsi="宋体"/>
          <w:bCs/>
          <w:sz w:val="24"/>
          <w:szCs w:val="24"/>
          <w:highlight w:val="none"/>
        </w:rPr>
        <w:t>设计、采购、制造、运输、装卸、安装、调试、验收及培训等；同时包含安全相关设备的设计、制造、采购任务，并提供相关的售后服务、最终的工艺安装图、必须的备品备件清单</w:t>
      </w:r>
      <w:r>
        <w:rPr>
          <w:rFonts w:hint="eastAsia" w:asciiTheme="minorEastAsia" w:hAnsiTheme="minorEastAsia"/>
          <w:sz w:val="24"/>
          <w:szCs w:val="24"/>
          <w:highlight w:val="none"/>
        </w:rPr>
        <w:t>（备品备件明确规格、厂家、产地、价格</w:t>
      </w:r>
      <w:r>
        <w:rPr>
          <w:rFonts w:hint="eastAsia" w:ascii="宋体" w:hAnsi="宋体"/>
          <w:bCs/>
          <w:sz w:val="24"/>
          <w:szCs w:val="24"/>
          <w:highlight w:val="none"/>
        </w:rPr>
        <w:t>，单独报价）。</w:t>
      </w:r>
    </w:p>
    <w:p>
      <w:pPr>
        <w:spacing w:line="360" w:lineRule="auto"/>
        <w:ind w:firstLine="480" w:firstLineChars="200"/>
        <w:jc w:val="both"/>
        <w:rPr>
          <w:rFonts w:ascii="宋体" w:hAnsi="宋体"/>
          <w:bCs/>
          <w:sz w:val="24"/>
          <w:szCs w:val="24"/>
          <w:highlight w:val="none"/>
        </w:rPr>
      </w:pPr>
      <w:r>
        <w:rPr>
          <w:rFonts w:hint="eastAsia" w:ascii="宋体" w:hAnsi="宋体"/>
          <w:bCs/>
          <w:sz w:val="24"/>
          <w:szCs w:val="24"/>
          <w:highlight w:val="none"/>
        </w:rPr>
        <w:t>货物名称及数量详见下表：</w:t>
      </w:r>
    </w:p>
    <w:tbl>
      <w:tblPr>
        <w:tblStyle w:val="38"/>
        <w:tblW w:w="47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835"/>
        <w:gridCol w:w="663"/>
        <w:gridCol w:w="763"/>
        <w:gridCol w:w="105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421"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92"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工具</w:t>
            </w:r>
            <w:r>
              <w:rPr>
                <w:rFonts w:hint="eastAsia" w:ascii="宋体" w:hAnsi="宋体" w:eastAsia="宋体" w:cs="宋体"/>
                <w:color w:val="auto"/>
                <w:sz w:val="21"/>
                <w:szCs w:val="21"/>
                <w:highlight w:val="none"/>
              </w:rPr>
              <w:t>名称</w:t>
            </w:r>
          </w:p>
        </w:tc>
        <w:tc>
          <w:tcPr>
            <w:tcW w:w="372"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428"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592" w:type="pct"/>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量程</w:t>
            </w:r>
          </w:p>
        </w:tc>
        <w:tc>
          <w:tcPr>
            <w:tcW w:w="1592" w:type="pct"/>
            <w:vAlign w:val="center"/>
          </w:tcPr>
          <w:p>
            <w:pPr>
              <w:tabs>
                <w:tab w:val="left" w:pos="-2340"/>
              </w:tabs>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92"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20-100</w:t>
            </w:r>
          </w:p>
        </w:tc>
        <w:tc>
          <w:tcPr>
            <w:tcW w:w="1592"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92"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20-100</w:t>
            </w:r>
          </w:p>
        </w:tc>
        <w:tc>
          <w:tcPr>
            <w:tcW w:w="1592"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交钥匙方式，需使用特殊头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w:t>
            </w:r>
          </w:p>
        </w:tc>
        <w:tc>
          <w:tcPr>
            <w:tcW w:w="592"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30-150</w:t>
            </w:r>
          </w:p>
        </w:tc>
        <w:tc>
          <w:tcPr>
            <w:tcW w:w="1592"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92"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15-50</w:t>
            </w:r>
          </w:p>
        </w:tc>
        <w:tc>
          <w:tcPr>
            <w:tcW w:w="1592"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交钥匙方式，需使用特殊头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92"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15-70</w:t>
            </w:r>
          </w:p>
        </w:tc>
        <w:tc>
          <w:tcPr>
            <w:tcW w:w="1592"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气动油压脉冲定扭力扳手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592"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40-72</w:t>
            </w:r>
          </w:p>
        </w:tc>
        <w:tc>
          <w:tcPr>
            <w:tcW w:w="1592"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气动油压脉冲定扭力扳手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92"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180-255</w:t>
            </w:r>
          </w:p>
        </w:tc>
        <w:tc>
          <w:tcPr>
            <w:tcW w:w="1592"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电动油压脉冲定扭力扳手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592"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10-20</w:t>
            </w:r>
          </w:p>
        </w:tc>
        <w:tc>
          <w:tcPr>
            <w:tcW w:w="1592"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1"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159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气动油压脉冲定扭力扳手</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592"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230-450</w:t>
            </w:r>
          </w:p>
        </w:tc>
        <w:tc>
          <w:tcPr>
            <w:tcW w:w="1592" w:type="pct"/>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w:t>
            </w:r>
          </w:p>
        </w:tc>
      </w:tr>
    </w:tbl>
    <w:p>
      <w:pPr>
        <w:spacing w:line="360" w:lineRule="auto"/>
        <w:ind w:firstLine="480" w:firstLineChars="200"/>
        <w:jc w:val="both"/>
        <w:rPr>
          <w:rFonts w:hint="eastAsia" w:ascii="宋体" w:hAnsi="宋体" w:eastAsia="宋体" w:cs="Times New Roman"/>
          <w:bCs/>
          <w:sz w:val="24"/>
          <w:szCs w:val="24"/>
          <w:highlight w:val="none"/>
        </w:rPr>
      </w:pPr>
      <w:r>
        <w:rPr>
          <w:rFonts w:hint="eastAsia" w:ascii="宋体" w:hAnsi="宋体" w:eastAsia="宋体" w:cs="Times New Roman"/>
          <w:bCs/>
          <w:sz w:val="24"/>
          <w:szCs w:val="24"/>
          <w:highlight w:val="none"/>
        </w:rPr>
        <w:t>交钥匙工程：供货方应负责装备的制造、运输、安装、调试、培训、交付验收及生产陪伴、售后服务等等工作。负责搬迁装备的安装、调试。</w:t>
      </w:r>
    </w:p>
    <w:p>
      <w:pPr>
        <w:spacing w:line="360" w:lineRule="auto"/>
        <w:ind w:firstLine="480" w:firstLineChars="200"/>
        <w:jc w:val="both"/>
        <w:rPr>
          <w:rFonts w:hint="eastAsia" w:ascii="宋体" w:hAnsi="宋体" w:eastAsia="宋体" w:cs="Times New Roman"/>
          <w:bCs/>
          <w:sz w:val="24"/>
          <w:szCs w:val="24"/>
          <w:highlight w:val="none"/>
        </w:rPr>
      </w:pPr>
      <w:r>
        <w:rPr>
          <w:rFonts w:hint="eastAsia" w:ascii="宋体" w:hAnsi="宋体" w:eastAsia="宋体" w:cs="Times New Roman"/>
          <w:bCs/>
          <w:sz w:val="24"/>
          <w:szCs w:val="24"/>
          <w:highlight w:val="none"/>
        </w:rPr>
        <w:t>应保证装备技术先进、结构合理、配套完整、不漏项，应满足生产要求。</w:t>
      </w:r>
    </w:p>
    <w:p>
      <w:pPr>
        <w:spacing w:line="360" w:lineRule="auto"/>
        <w:ind w:firstLine="480" w:firstLineChars="200"/>
        <w:jc w:val="both"/>
        <w:rPr>
          <w:rFonts w:hint="eastAsia" w:ascii="宋体" w:hAnsi="宋体" w:eastAsia="宋体" w:cs="Times New Roman"/>
          <w:bCs/>
          <w:sz w:val="24"/>
          <w:szCs w:val="24"/>
          <w:highlight w:val="none"/>
        </w:rPr>
      </w:pPr>
      <w:r>
        <w:rPr>
          <w:rFonts w:hint="eastAsia" w:ascii="宋体" w:hAnsi="宋体" w:eastAsia="宋体" w:cs="Times New Roman"/>
          <w:bCs/>
          <w:sz w:val="24"/>
          <w:szCs w:val="24"/>
          <w:highlight w:val="none"/>
        </w:rPr>
        <w:t>2交货期：202</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年</w:t>
      </w:r>
      <w:r>
        <w:rPr>
          <w:rFonts w:hint="eastAsia" w:ascii="宋体" w:hAnsi="宋体" w:eastAsia="宋体" w:cs="Times New Roman"/>
          <w:bCs/>
          <w:sz w:val="24"/>
          <w:szCs w:val="24"/>
          <w:highlight w:val="none"/>
          <w:lang w:val="en-US" w:eastAsia="zh-CN"/>
        </w:rPr>
        <w:t>5</w:t>
      </w:r>
      <w:r>
        <w:rPr>
          <w:rFonts w:hint="eastAsia" w:ascii="宋体" w:hAnsi="宋体" w:eastAsia="宋体" w:cs="Times New Roman"/>
          <w:bCs/>
          <w:sz w:val="24"/>
          <w:szCs w:val="24"/>
          <w:highlight w:val="none"/>
        </w:rPr>
        <w:t>月</w:t>
      </w:r>
      <w:r>
        <w:rPr>
          <w:rFonts w:hint="eastAsia" w:ascii="宋体" w:hAnsi="宋体" w:eastAsia="宋体" w:cs="Times New Roman"/>
          <w:bCs/>
          <w:sz w:val="24"/>
          <w:szCs w:val="24"/>
          <w:highlight w:val="none"/>
          <w:lang w:val="en-US" w:eastAsia="zh-CN"/>
        </w:rPr>
        <w:t>1</w:t>
      </w:r>
      <w:r>
        <w:rPr>
          <w:rFonts w:hint="eastAsia" w:ascii="宋体" w:hAnsi="宋体" w:eastAsia="宋体" w:cs="Times New Roman"/>
          <w:bCs/>
          <w:sz w:val="24"/>
          <w:szCs w:val="24"/>
          <w:highlight w:val="none"/>
        </w:rPr>
        <w:t>日前(包含设计、制造、运输、安装、调试、试运行、验收、培训等，直至交付使用)</w:t>
      </w:r>
    </w:p>
    <w:p>
      <w:pPr>
        <w:spacing w:line="360" w:lineRule="auto"/>
        <w:ind w:firstLine="480" w:firstLineChars="200"/>
        <w:jc w:val="both"/>
        <w:rPr>
          <w:rFonts w:hint="eastAsia" w:ascii="宋体" w:hAnsi="宋体" w:eastAsia="宋体" w:cs="Times New Roman"/>
          <w:bCs/>
          <w:sz w:val="24"/>
          <w:szCs w:val="24"/>
          <w:highlight w:val="none"/>
        </w:rPr>
      </w:pPr>
      <w:r>
        <w:rPr>
          <w:rFonts w:hint="eastAsia" w:ascii="宋体" w:hAnsi="宋体" w:eastAsia="宋体" w:cs="Times New Roman"/>
          <w:bCs/>
          <w:sz w:val="24"/>
          <w:szCs w:val="24"/>
          <w:highlight w:val="none"/>
        </w:rPr>
        <w:t>3 交货地点：济南轻卡制造公司</w:t>
      </w:r>
    </w:p>
    <w:p>
      <w:pPr>
        <w:pStyle w:val="3"/>
        <w:keepNext/>
        <w:keepLines/>
        <w:spacing w:line="360" w:lineRule="auto"/>
        <w:ind w:left="0"/>
        <w:jc w:val="both"/>
        <w:rPr>
          <w:rFonts w:hint="eastAsia" w:ascii="宋体" w:hAnsi="宋体"/>
          <w:color w:val="auto"/>
          <w:highlight w:val="none"/>
        </w:rPr>
      </w:pPr>
      <w:bookmarkStart w:id="35" w:name="_Toc23035"/>
      <w:bookmarkStart w:id="36" w:name="_Toc27758110"/>
      <w:bookmarkStart w:id="37" w:name="_Toc26357121"/>
      <w:r>
        <w:rPr>
          <w:rFonts w:hint="eastAsia" w:ascii="宋体" w:hAnsi="宋体"/>
          <w:color w:val="auto"/>
          <w:highlight w:val="none"/>
        </w:rPr>
        <w:t>四、工程界面</w:t>
      </w:r>
      <w:bookmarkEnd w:id="35"/>
    </w:p>
    <w:p>
      <w:pPr>
        <w:spacing w:line="360" w:lineRule="auto"/>
        <w:rPr>
          <w:rFonts w:ascii="宋体" w:hAnsi="宋体"/>
          <w:sz w:val="24"/>
          <w:szCs w:val="24"/>
          <w:highlight w:val="none"/>
        </w:rPr>
      </w:pPr>
      <w:bookmarkStart w:id="38" w:name="_Toc32178"/>
      <w:r>
        <w:rPr>
          <w:rFonts w:hint="eastAsia" w:ascii="宋体" w:hAnsi="宋体"/>
          <w:sz w:val="24"/>
          <w:szCs w:val="24"/>
          <w:highlight w:val="none"/>
          <w:lang w:val="en-US" w:eastAsia="zh-CN"/>
        </w:rPr>
        <w:t>1.</w:t>
      </w:r>
      <w:r>
        <w:rPr>
          <w:rFonts w:hint="eastAsia" w:ascii="宋体" w:hAnsi="宋体"/>
          <w:sz w:val="24"/>
          <w:szCs w:val="24"/>
          <w:highlight w:val="none"/>
        </w:rPr>
        <w:t>招标方提供厂房</w:t>
      </w:r>
      <w:r>
        <w:rPr>
          <w:rFonts w:hint="eastAsia" w:ascii="宋体" w:hAnsi="宋体"/>
          <w:sz w:val="24"/>
          <w:szCs w:val="24"/>
          <w:highlight w:val="none"/>
          <w:lang w:eastAsia="zh-CN"/>
        </w:rPr>
        <w:t>及吊点，</w:t>
      </w:r>
      <w:r>
        <w:rPr>
          <w:rFonts w:hint="eastAsia" w:ascii="宋体" w:hAnsi="宋体"/>
          <w:sz w:val="24"/>
          <w:szCs w:val="24"/>
          <w:highlight w:val="none"/>
        </w:rPr>
        <w:t>吊点设置位置、高度及规格型号见厂房建筑图纸</w:t>
      </w:r>
      <w:r>
        <w:rPr>
          <w:rFonts w:hint="eastAsia" w:ascii="宋体" w:hAnsi="宋体"/>
          <w:sz w:val="24"/>
          <w:szCs w:val="24"/>
          <w:highlight w:val="none"/>
          <w:lang w:eastAsia="zh-CN"/>
        </w:rPr>
        <w:t>；</w:t>
      </w:r>
      <w:r>
        <w:rPr>
          <w:rFonts w:hint="eastAsia" w:asciiTheme="minorEastAsia" w:hAnsiTheme="minorEastAsia"/>
          <w:sz w:val="24"/>
          <w:szCs w:val="24"/>
          <w:highlight w:val="none"/>
        </w:rPr>
        <w:t>投标方负责</w:t>
      </w:r>
      <w:r>
        <w:rPr>
          <w:rFonts w:hint="eastAsia" w:asciiTheme="minorEastAsia" w:hAnsiTheme="minorEastAsia"/>
          <w:sz w:val="24"/>
          <w:szCs w:val="24"/>
          <w:highlight w:val="none"/>
          <w:lang w:eastAsia="zh-CN"/>
        </w:rPr>
        <w:t>吊点以下</w:t>
      </w:r>
      <w:r>
        <w:rPr>
          <w:rFonts w:hint="eastAsia" w:asciiTheme="minorEastAsia" w:hAnsiTheme="minorEastAsia"/>
          <w:sz w:val="24"/>
          <w:szCs w:val="24"/>
          <w:highlight w:val="none"/>
        </w:rPr>
        <w:t>悬挂钢结构</w:t>
      </w:r>
      <w:r>
        <w:rPr>
          <w:rFonts w:hint="eastAsia" w:asciiTheme="minorEastAsia" w:hAnsiTheme="minorEastAsia"/>
          <w:sz w:val="24"/>
          <w:szCs w:val="24"/>
          <w:highlight w:val="none"/>
          <w:lang w:eastAsia="zh-CN"/>
        </w:rPr>
        <w:t>，</w:t>
      </w:r>
      <w:r>
        <w:rPr>
          <w:rFonts w:hint="eastAsia" w:ascii="宋体" w:hAnsi="宋体"/>
          <w:sz w:val="24"/>
          <w:szCs w:val="24"/>
          <w:highlight w:val="none"/>
        </w:rPr>
        <w:t>包括吊点联接装置、吊杆、一次、二次辅梁、安全护栏、安全网等</w:t>
      </w:r>
      <w:r>
        <w:rPr>
          <w:rFonts w:hint="eastAsia" w:asciiTheme="minorEastAsia" w:hAnsiTheme="minorEastAsia"/>
          <w:sz w:val="24"/>
          <w:szCs w:val="24"/>
          <w:highlight w:val="none"/>
          <w:lang w:eastAsia="zh-CN"/>
        </w:rPr>
        <w:t>的</w:t>
      </w:r>
      <w:r>
        <w:rPr>
          <w:rFonts w:hint="eastAsia" w:asciiTheme="minorEastAsia" w:hAnsiTheme="minorEastAsia"/>
          <w:sz w:val="24"/>
          <w:szCs w:val="24"/>
          <w:highlight w:val="none"/>
        </w:rPr>
        <w:t>设计、制作、安装。投标方的设计图纸应经招标方审核。</w:t>
      </w:r>
    </w:p>
    <w:p>
      <w:pPr>
        <w:spacing w:line="360" w:lineRule="auto"/>
        <w:rPr>
          <w:rFonts w:ascii="宋体" w:hAnsi="宋体"/>
          <w:sz w:val="24"/>
          <w:szCs w:val="24"/>
          <w:highlight w:val="none"/>
        </w:rPr>
      </w:pPr>
      <w:r>
        <w:rPr>
          <w:rFonts w:hint="eastAsia" w:ascii="宋体" w:hAnsi="宋体"/>
          <w:sz w:val="24"/>
          <w:szCs w:val="24"/>
          <w:highlight w:val="none"/>
          <w:lang w:val="en-US" w:eastAsia="zh-CN"/>
        </w:rPr>
        <w:t>2.</w:t>
      </w:r>
      <w:r>
        <w:rPr>
          <w:rFonts w:hint="eastAsia" w:ascii="宋体" w:hAnsi="宋体"/>
          <w:sz w:val="24"/>
          <w:szCs w:val="24"/>
          <w:highlight w:val="none"/>
        </w:rPr>
        <w:t>基础</w:t>
      </w:r>
      <w:r>
        <w:rPr>
          <w:rFonts w:hint="eastAsia" w:ascii="宋体" w:hAnsi="宋体"/>
          <w:sz w:val="24"/>
          <w:szCs w:val="24"/>
          <w:highlight w:val="none"/>
          <w:lang w:eastAsia="zh-CN"/>
        </w:rPr>
        <w:t>，</w:t>
      </w:r>
      <w:r>
        <w:rPr>
          <w:rFonts w:hint="eastAsia" w:ascii="宋体" w:hAnsi="宋体"/>
          <w:sz w:val="24"/>
          <w:szCs w:val="24"/>
          <w:highlight w:val="none"/>
          <w:lang w:val="en-US" w:eastAsia="zh-CN"/>
        </w:rPr>
        <w:t>基础</w:t>
      </w:r>
      <w:r>
        <w:rPr>
          <w:rFonts w:hint="eastAsia" w:ascii="宋体" w:hAnsi="宋体"/>
          <w:sz w:val="24"/>
          <w:szCs w:val="24"/>
          <w:highlight w:val="none"/>
        </w:rPr>
        <w:t>及二次浇注划分基础、二次浇注、预埋件等由招标方提供，具体要求由投标方在土建需求提供资料前提出。</w:t>
      </w:r>
    </w:p>
    <w:p>
      <w:pPr>
        <w:spacing w:line="360" w:lineRule="auto"/>
        <w:rPr>
          <w:rFonts w:ascii="宋体" w:hAnsi="宋体"/>
          <w:sz w:val="24"/>
          <w:szCs w:val="24"/>
          <w:highlight w:val="none"/>
        </w:rPr>
      </w:pPr>
      <w:r>
        <w:rPr>
          <w:rFonts w:hint="eastAsia" w:ascii="宋体" w:hAnsi="宋体"/>
          <w:sz w:val="24"/>
          <w:szCs w:val="24"/>
          <w:highlight w:val="none"/>
          <w:lang w:val="en-US" w:eastAsia="zh-CN"/>
        </w:rPr>
        <w:t>3.</w:t>
      </w:r>
      <w:r>
        <w:rPr>
          <w:rFonts w:hint="eastAsia" w:ascii="宋体" w:hAnsi="宋体"/>
          <w:sz w:val="24"/>
          <w:szCs w:val="24"/>
          <w:highlight w:val="none"/>
        </w:rPr>
        <w:t>气源划分</w:t>
      </w:r>
      <w:r>
        <w:rPr>
          <w:rFonts w:hint="eastAsia" w:ascii="宋体" w:hAnsi="宋体"/>
          <w:sz w:val="24"/>
          <w:szCs w:val="24"/>
          <w:highlight w:val="none"/>
          <w:lang w:eastAsia="zh-CN"/>
        </w:rPr>
        <w:t>，</w:t>
      </w:r>
      <w:r>
        <w:rPr>
          <w:rFonts w:hint="eastAsia" w:ascii="宋体" w:hAnsi="宋体"/>
          <w:sz w:val="24"/>
          <w:szCs w:val="24"/>
          <w:highlight w:val="none"/>
        </w:rPr>
        <w:t>气源一次侧与二次侧的范围界定：根据设备需要，招标方在车间主管网上预留气源接口并带有阀门；阀门后所有的气路设施由投标方负责，投标方需在提供资料时提出预留气源接口位置。</w:t>
      </w:r>
    </w:p>
    <w:p>
      <w:pPr>
        <w:spacing w:line="360" w:lineRule="auto"/>
        <w:rPr>
          <w:rFonts w:ascii="宋体" w:hAnsi="宋体"/>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电源划分</w:t>
      </w:r>
      <w:r>
        <w:rPr>
          <w:rFonts w:hint="eastAsia" w:ascii="宋体" w:hAnsi="宋体"/>
          <w:sz w:val="24"/>
          <w:szCs w:val="24"/>
          <w:highlight w:val="none"/>
          <w:lang w:eastAsia="zh-CN"/>
        </w:rPr>
        <w:t>，</w:t>
      </w:r>
      <w:r>
        <w:rPr>
          <w:rFonts w:hint="eastAsia" w:ascii="宋体" w:hAnsi="宋体"/>
          <w:sz w:val="24"/>
          <w:szCs w:val="24"/>
          <w:highlight w:val="none"/>
        </w:rPr>
        <w:t>控制柜仅指设备的主控柜，原则上每台设备设置一个主控柜（主控柜位置</w:t>
      </w:r>
      <w:r>
        <w:rPr>
          <w:rFonts w:hint="eastAsia" w:ascii="宋体" w:hAnsi="宋体"/>
          <w:sz w:val="24"/>
          <w:szCs w:val="24"/>
          <w:highlight w:val="none"/>
          <w:lang w:val="en-US" w:eastAsia="zh-CN"/>
        </w:rPr>
        <w:t>需根据实际生产情况具体设置</w:t>
      </w:r>
      <w:r>
        <w:rPr>
          <w:rFonts w:hint="eastAsia" w:ascii="宋体" w:hAnsi="宋体"/>
          <w:sz w:val="24"/>
          <w:szCs w:val="24"/>
          <w:highlight w:val="none"/>
        </w:rPr>
        <w:t>），单台设备超过一个主控柜需在图纸会签时说明，否则招标方不负责提供多余电源点。招标方负责从插接箱中接电进投标方主控柜，线缆和桥架及母线插接箱均由招标方负责。投标方负责每条主线和分装线边小功率设备的线边配电柜（带电表及通讯上</w:t>
      </w:r>
      <w:r>
        <w:rPr>
          <w:rFonts w:hint="eastAsia" w:ascii="宋体" w:hAnsi="宋体"/>
          <w:sz w:val="24"/>
          <w:szCs w:val="24"/>
          <w:highlight w:val="none"/>
          <w:lang w:val="en-US" w:eastAsia="zh-CN"/>
        </w:rPr>
        <w:t xml:space="preserve">  </w:t>
      </w:r>
      <w:r>
        <w:rPr>
          <w:rFonts w:hint="eastAsia" w:ascii="宋体" w:hAnsi="宋体"/>
          <w:sz w:val="24"/>
          <w:szCs w:val="24"/>
          <w:highlight w:val="none"/>
        </w:rPr>
        <w:t>传功能），配电柜接线及柜内各元器件由投标方负责。</w:t>
      </w:r>
    </w:p>
    <w:p>
      <w:pPr>
        <w:spacing w:line="360" w:lineRule="auto"/>
        <w:rPr>
          <w:rFonts w:ascii="宋体" w:hAnsi="宋体"/>
          <w:sz w:val="24"/>
          <w:szCs w:val="24"/>
          <w:highlight w:val="none"/>
        </w:rPr>
      </w:pPr>
      <w:r>
        <w:rPr>
          <w:rFonts w:hint="eastAsia" w:ascii="宋体" w:hAnsi="宋体"/>
          <w:sz w:val="24"/>
          <w:szCs w:val="24"/>
          <w:highlight w:val="none"/>
        </w:rPr>
        <w:t xml:space="preserve">投标方负责线边配电柜到线边两侧工位上的接电盒（具体图纸会签时确定），接电盒内各元器件由投标方负责。投标方负责提供输送设备、工艺设备、照明、风扇、插座用电。  </w:t>
      </w:r>
    </w:p>
    <w:p>
      <w:pPr>
        <w:spacing w:line="360" w:lineRule="auto"/>
        <w:rPr>
          <w:rFonts w:ascii="宋体" w:hAnsi="宋体"/>
          <w:bCs/>
          <w:sz w:val="24"/>
          <w:szCs w:val="24"/>
          <w:highlight w:val="none"/>
        </w:rPr>
      </w:pPr>
      <w:r>
        <w:rPr>
          <w:rFonts w:hint="eastAsia" w:ascii="宋体" w:hAnsi="宋体"/>
          <w:sz w:val="24"/>
          <w:szCs w:val="24"/>
          <w:highlight w:val="none"/>
          <w:lang w:val="en-US" w:eastAsia="zh-CN"/>
        </w:rPr>
        <w:t>5.</w:t>
      </w:r>
      <w:r>
        <w:rPr>
          <w:rFonts w:hint="eastAsia" w:ascii="宋体" w:hAnsi="宋体"/>
          <w:sz w:val="24"/>
          <w:szCs w:val="24"/>
          <w:highlight w:val="none"/>
        </w:rPr>
        <w:t>照明划分</w:t>
      </w:r>
      <w:r>
        <w:rPr>
          <w:rFonts w:hint="eastAsia" w:ascii="宋体" w:hAnsi="宋体"/>
          <w:sz w:val="24"/>
          <w:szCs w:val="24"/>
          <w:highlight w:val="none"/>
          <w:lang w:eastAsia="zh-CN"/>
        </w:rPr>
        <w:t>，</w:t>
      </w:r>
      <w:r>
        <w:rPr>
          <w:rFonts w:hint="eastAsia" w:ascii="宋体" w:hAnsi="宋体"/>
          <w:sz w:val="24"/>
          <w:szCs w:val="24"/>
          <w:highlight w:val="none"/>
        </w:rPr>
        <w:t>招标方负责车间照明、应急照明、疏散指示灯。投标方负责工位照明、设备照明。</w:t>
      </w:r>
    </w:p>
    <w:p>
      <w:pPr>
        <w:spacing w:line="360" w:lineRule="auto"/>
        <w:jc w:val="left"/>
        <w:rPr>
          <w:rFonts w:hint="eastAsia" w:asciiTheme="minorEastAsia" w:hAnsiTheme="minorEastAsia"/>
          <w:sz w:val="24"/>
          <w:szCs w:val="24"/>
          <w:highlight w:val="none"/>
        </w:rPr>
      </w:pPr>
      <w:r>
        <w:rPr>
          <w:rFonts w:hint="eastAsia" w:ascii="宋体" w:hAnsi="宋体"/>
          <w:bCs/>
          <w:sz w:val="24"/>
          <w:szCs w:val="24"/>
          <w:highlight w:val="none"/>
          <w:lang w:val="en-US" w:eastAsia="zh-CN"/>
        </w:rPr>
        <w:t>6.</w:t>
      </w:r>
      <w:r>
        <w:rPr>
          <w:rFonts w:hint="eastAsia" w:ascii="宋体" w:hAnsi="宋体"/>
          <w:bCs/>
          <w:sz w:val="24"/>
          <w:szCs w:val="24"/>
          <w:highlight w:val="none"/>
        </w:rPr>
        <w:t>工艺接口</w:t>
      </w:r>
      <w:r>
        <w:rPr>
          <w:rFonts w:hint="eastAsia" w:ascii="宋体" w:hAnsi="宋体"/>
          <w:bCs/>
          <w:sz w:val="24"/>
          <w:szCs w:val="24"/>
          <w:highlight w:val="none"/>
          <w:lang w:eastAsia="zh-CN"/>
        </w:rPr>
        <w:t>，</w:t>
      </w:r>
      <w:r>
        <w:rPr>
          <w:rFonts w:hint="eastAsia" w:asciiTheme="minorEastAsia" w:hAnsiTheme="minorEastAsia"/>
          <w:sz w:val="24"/>
          <w:szCs w:val="24"/>
          <w:highlight w:val="none"/>
        </w:rPr>
        <w:t>各设备具体布置情况详见重汽轻卡二期总装平面布置图。平面布置图仅提出各设备布置位置及输送流向，投标方应细化各设备设计方案后，作为投标依据。</w:t>
      </w:r>
    </w:p>
    <w:p>
      <w:pPr>
        <w:pStyle w:val="3"/>
        <w:keepNext/>
        <w:keepLines/>
        <w:spacing w:line="360" w:lineRule="auto"/>
        <w:ind w:left="0"/>
        <w:jc w:val="both"/>
        <w:rPr>
          <w:rFonts w:hint="eastAsia" w:ascii="宋体" w:hAnsi="宋体"/>
          <w:color w:val="auto"/>
          <w:highlight w:val="none"/>
        </w:rPr>
      </w:pPr>
      <w:r>
        <w:rPr>
          <w:rFonts w:hint="eastAsia" w:ascii="宋体" w:hAnsi="宋体" w:eastAsia="宋体" w:cs="Times New Roman"/>
          <w:b w:val="0"/>
          <w:kern w:val="2"/>
          <w:sz w:val="24"/>
          <w:szCs w:val="24"/>
          <w:highlight w:val="none"/>
          <w:lang w:val="en-US" w:eastAsia="zh-CN" w:bidi="ar-SA"/>
        </w:rPr>
        <w:t>7.网络界面，招标方负责车间内一次侧网络布置，投标方负责二次侧网络布置和连接。</w:t>
      </w:r>
      <w:r>
        <w:rPr>
          <w:rFonts w:hint="eastAsia" w:ascii="宋体" w:hAnsi="宋体"/>
          <w:color w:val="auto"/>
          <w:highlight w:val="none"/>
        </w:rPr>
        <w:t>五、标的物技术要求</w:t>
      </w:r>
      <w:bookmarkEnd w:id="36"/>
      <w:bookmarkEnd w:id="37"/>
      <w:bookmarkEnd w:id="38"/>
    </w:p>
    <w:p>
      <w:pPr>
        <w:spacing w:line="360" w:lineRule="auto"/>
        <w:rPr>
          <w:rFonts w:hint="default" w:ascii="宋体" w:hAnsi="宋体" w:eastAsia="宋体"/>
          <w:b/>
          <w:bCs/>
          <w:color w:val="auto"/>
          <w:sz w:val="24"/>
          <w:szCs w:val="24"/>
          <w:highlight w:val="none"/>
          <w:lang w:val="en-US" w:eastAsia="zh-CN"/>
        </w:rPr>
      </w:pPr>
      <w:r>
        <w:rPr>
          <w:rFonts w:hint="eastAsia" w:ascii="宋体" w:hAnsi="宋体"/>
          <w:b/>
          <w:bCs/>
          <w:color w:val="auto"/>
          <w:sz w:val="24"/>
          <w:szCs w:val="24"/>
          <w:highlight w:val="none"/>
        </w:rPr>
        <w:t>1、基本要求</w:t>
      </w:r>
    </w:p>
    <w:p>
      <w:pPr>
        <w:spacing w:line="360" w:lineRule="auto"/>
        <w:jc w:val="both"/>
        <w:rPr>
          <w:rFonts w:ascii="宋体" w:hAnsi="宋体"/>
          <w:bCs/>
          <w:color w:val="auto"/>
          <w:sz w:val="24"/>
          <w:highlight w:val="none"/>
        </w:rPr>
      </w:pPr>
      <w:r>
        <w:rPr>
          <w:rFonts w:hint="eastAsia" w:ascii="宋体" w:hAnsi="宋体"/>
          <w:bCs/>
          <w:color w:val="auto"/>
          <w:sz w:val="24"/>
          <w:highlight w:val="none"/>
        </w:rPr>
        <w:t>1.</w:t>
      </w:r>
      <w:r>
        <w:rPr>
          <w:rFonts w:hint="eastAsia" w:ascii="宋体" w:hAnsi="宋体"/>
          <w:bCs/>
          <w:color w:val="auto"/>
          <w:sz w:val="24"/>
          <w:highlight w:val="none"/>
          <w:lang w:val="en-US" w:eastAsia="zh-CN"/>
        </w:rPr>
        <w:t>1</w:t>
      </w:r>
      <w:r>
        <w:rPr>
          <w:rFonts w:hint="eastAsia" w:ascii="宋体" w:hAnsi="宋体"/>
          <w:bCs/>
          <w:color w:val="auto"/>
          <w:sz w:val="24"/>
          <w:highlight w:val="none"/>
        </w:rPr>
        <w:t>投标方所供的货物，必须符合中国最新版的法律、法规和相关标准、规范的要求，符合项目所在地政府有关特殊要求。</w:t>
      </w:r>
    </w:p>
    <w:p>
      <w:pPr>
        <w:spacing w:line="360" w:lineRule="auto"/>
        <w:jc w:val="both"/>
        <w:rPr>
          <w:rFonts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2投标方所供货物涉及的、招标方有权使用的专利权技术以及知识产权保护的其它技术等，应保证招标方不因此受到任何侵权指控以及实际损失。</w:t>
      </w:r>
    </w:p>
    <w:p>
      <w:pPr>
        <w:spacing w:line="360" w:lineRule="auto"/>
        <w:jc w:val="both"/>
        <w:rPr>
          <w:rFonts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3投标方应保证所供货物的先进性、可靠性、经济性和实用性，并为全新货物（或设备）。</w:t>
      </w:r>
    </w:p>
    <w:p>
      <w:pPr>
        <w:spacing w:line="360" w:lineRule="auto"/>
        <w:jc w:val="both"/>
        <w:rPr>
          <w:rFonts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4投标方应满足招标方提出的各项技术要求，必要时应当免费提供技术承诺或担保。</w:t>
      </w:r>
    </w:p>
    <w:p>
      <w:pPr>
        <w:spacing w:line="360" w:lineRule="auto"/>
        <w:jc w:val="both"/>
        <w:rPr>
          <w:rFonts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5投标方应保证所供货物（或设备）为中国公布的非淘汰货物（或设备），并为中国指定或规定的主管部门认可的环保型和节能型货物（或设备）。</w:t>
      </w:r>
    </w:p>
    <w:p>
      <w:pPr>
        <w:spacing w:line="360" w:lineRule="auto"/>
        <w:jc w:val="both"/>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6投标方应保证所供货物（或生产线）的完整性和成套性，能保证货物（或生产线）的正常运行、使用。</w:t>
      </w:r>
    </w:p>
    <w:p>
      <w:pPr>
        <w:spacing w:line="360" w:lineRule="auto"/>
        <w:jc w:val="both"/>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7投标方应对招标方采购的货物（或生产线）所涉及的技术、产能等信息负有保密义务，特殊项目应当无条件签署保密协议。</w:t>
      </w:r>
    </w:p>
    <w:p>
      <w:pPr>
        <w:spacing w:line="360" w:lineRule="auto"/>
        <w:jc w:val="both"/>
        <w:rPr>
          <w:rFonts w:hint="eastAsia" w:ascii="宋体" w:hAnsi="宋体"/>
          <w:bCs/>
          <w:color w:val="auto"/>
          <w:sz w:val="24"/>
          <w:highlight w:val="none"/>
          <w:lang w:val="en-US" w:eastAsia="zh-CN"/>
        </w:rPr>
      </w:pPr>
      <w:r>
        <w:rPr>
          <w:rFonts w:hint="eastAsia" w:ascii="宋体" w:hAnsi="宋体"/>
          <w:bCs/>
          <w:color w:val="auto"/>
          <w:sz w:val="24"/>
          <w:highlight w:val="none"/>
          <w:lang w:val="en-US" w:eastAsia="zh-CN"/>
        </w:rPr>
        <w:t>1.8投标方提供的设备外观必须满足招标方《Q/ZZ 30070—2020 设备设施颜色标识》的要求。</w:t>
      </w:r>
    </w:p>
    <w:p>
      <w:pPr>
        <w:spacing w:line="360" w:lineRule="auto"/>
        <w:rPr>
          <w:rFonts w:ascii="宋体" w:hAnsi="宋体"/>
          <w:sz w:val="24"/>
          <w:szCs w:val="24"/>
          <w:highlight w:val="none"/>
        </w:rPr>
      </w:pPr>
      <w:r>
        <w:rPr>
          <w:rFonts w:hint="eastAsia" w:ascii="宋体" w:hAnsi="宋体"/>
          <w:sz w:val="24"/>
          <w:szCs w:val="24"/>
          <w:highlight w:val="none"/>
          <w:lang w:val="en-US" w:eastAsia="zh-CN"/>
        </w:rPr>
        <w:t>1.9</w:t>
      </w:r>
      <w:r>
        <w:rPr>
          <w:rFonts w:hint="eastAsia" w:ascii="宋体" w:hAnsi="宋体"/>
          <w:sz w:val="24"/>
          <w:szCs w:val="24"/>
          <w:highlight w:val="none"/>
        </w:rPr>
        <w:t>设备用能设计基本要求：任何用能设备均应遵循《能源管理体系要求》（GB/T23331-2012）的相关规定，并在《能源管理体系要求》下开展设备的采购、维护、保养、淘汰更换等工作。</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为方便用能设备的计量统计，新增采购设备应在《用能单位能源计量器具配备和管理通则》（GB17167-2006）指导下配备符合相应要求的能源计量器具。</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在各类机电设备（产品）的采购过程中应优先选用符合《节能机电设备（产品）推荐目录（第四批）》的机电设备（产品）。</w:t>
      </w:r>
    </w:p>
    <w:p>
      <w:pPr>
        <w:spacing w:line="360" w:lineRule="auto"/>
        <w:ind w:firstLine="480" w:firstLineChars="200"/>
        <w:rPr>
          <w:rFonts w:hint="default"/>
          <w:lang w:val="en-US" w:eastAsia="zh-CN"/>
        </w:rPr>
      </w:pPr>
      <w:r>
        <w:rPr>
          <w:rFonts w:hint="eastAsia" w:ascii="宋体" w:hAnsi="宋体"/>
          <w:sz w:val="24"/>
          <w:szCs w:val="24"/>
          <w:highlight w:val="none"/>
        </w:rPr>
        <w:t>供方应确保设备的附属各类机电设备、设施（如：电机、风机、电器控制系统、润滑、保温隔热、照明等等）符合国家现行的相关专项标准要求。</w:t>
      </w:r>
    </w:p>
    <w:p>
      <w:pPr>
        <w:spacing w:line="360" w:lineRule="auto"/>
        <w:rPr>
          <w:rFonts w:hint="eastAsia"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2、通用技术要求</w:t>
      </w:r>
    </w:p>
    <w:p>
      <w:pPr>
        <w:spacing w:line="360" w:lineRule="auto"/>
        <w:rPr>
          <w:rFonts w:hint="eastAsia" w:ascii="宋体" w:hAnsi="宋体" w:eastAsia="宋体" w:cs="Times New Roman"/>
          <w:b/>
          <w:bCs/>
          <w:color w:val="auto"/>
          <w:sz w:val="24"/>
          <w:szCs w:val="24"/>
          <w:highlight w:val="none"/>
        </w:rPr>
      </w:pPr>
      <w:bookmarkStart w:id="39" w:name="_Toc2686"/>
      <w:bookmarkStart w:id="40" w:name="_Toc22533"/>
      <w:r>
        <w:rPr>
          <w:rFonts w:hint="eastAsia" w:ascii="宋体" w:hAnsi="宋体" w:eastAsia="宋体" w:cs="Times New Roman"/>
          <w:b/>
          <w:bCs/>
          <w:color w:val="auto"/>
          <w:sz w:val="24"/>
          <w:szCs w:val="24"/>
          <w:highlight w:val="none"/>
          <w:lang w:val="en-US" w:eastAsia="zh-CN"/>
        </w:rPr>
        <w:t>2.1</w:t>
      </w:r>
      <w:r>
        <w:rPr>
          <w:rFonts w:hint="eastAsia" w:ascii="宋体" w:hAnsi="宋体" w:eastAsia="宋体" w:cs="Times New Roman"/>
          <w:b/>
          <w:bCs/>
          <w:color w:val="auto"/>
          <w:sz w:val="24"/>
          <w:szCs w:val="24"/>
          <w:highlight w:val="none"/>
        </w:rPr>
        <w:t>、基本要求</w:t>
      </w:r>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highlight w:val="none"/>
          <w:lang w:val="en-US" w:eastAsia="zh-CN"/>
        </w:rPr>
        <w:t>2.1</w:t>
      </w:r>
      <w:r>
        <w:rPr>
          <w:rFonts w:ascii="宋体" w:hAnsi="宋体"/>
          <w:sz w:val="24"/>
          <w:szCs w:val="24"/>
          <w:highlight w:val="none"/>
        </w:rPr>
        <w:t>.1</w:t>
      </w:r>
      <w:r>
        <w:rPr>
          <w:rFonts w:hint="eastAsia" w:ascii="宋体" w:hAnsi="宋体"/>
          <w:sz w:val="24"/>
          <w:szCs w:val="24"/>
          <w:highlight w:val="none"/>
        </w:rPr>
        <w:t>单轴拧紧机布置在</w:t>
      </w:r>
      <w:r>
        <w:rPr>
          <w:rFonts w:hint="eastAsia" w:ascii="宋体" w:hAnsi="宋体"/>
          <w:bCs/>
          <w:sz w:val="24"/>
          <w:highlight w:val="none"/>
        </w:rPr>
        <w:t>济南轻卡制造公司</w:t>
      </w:r>
      <w:r>
        <w:rPr>
          <w:rFonts w:ascii="宋体" w:hAnsi="宋体"/>
          <w:sz w:val="24"/>
          <w:szCs w:val="24"/>
          <w:highlight w:val="none"/>
        </w:rPr>
        <w:t>,</w:t>
      </w:r>
      <w:r>
        <w:rPr>
          <w:rFonts w:hint="eastAsia" w:ascii="宋体" w:hAnsi="宋体"/>
          <w:sz w:val="24"/>
          <w:szCs w:val="24"/>
          <w:highlight w:val="none"/>
        </w:rPr>
        <w:t>用于总装</w:t>
      </w:r>
      <w:r>
        <w:rPr>
          <w:rFonts w:hint="eastAsia" w:ascii="宋体" w:hAnsi="宋体"/>
          <w:sz w:val="24"/>
          <w:szCs w:val="24"/>
          <w:highlight w:val="none"/>
          <w:lang w:val="en-US" w:eastAsia="zh-CN"/>
        </w:rPr>
        <w:t>部</w:t>
      </w:r>
      <w:r>
        <w:rPr>
          <w:rFonts w:hint="eastAsia" w:ascii="宋体" w:hAnsi="宋体"/>
          <w:sz w:val="24"/>
          <w:szCs w:val="24"/>
          <w:highlight w:val="none"/>
        </w:rPr>
        <w:t>拧紧工序。生产线</w:t>
      </w:r>
      <w:r>
        <w:rPr>
          <w:rFonts w:hint="eastAsia" w:ascii="宋体" w:hAnsi="宋体"/>
          <w:sz w:val="24"/>
          <w:szCs w:val="24"/>
          <w:highlight w:val="none"/>
          <w:lang w:val="en-US" w:eastAsia="zh-CN"/>
        </w:rPr>
        <w:t>使用</w:t>
      </w:r>
      <w:r>
        <w:rPr>
          <w:rFonts w:hint="eastAsia" w:ascii="宋体" w:hAnsi="宋体"/>
          <w:sz w:val="24"/>
          <w:szCs w:val="24"/>
          <w:highlight w:val="none"/>
        </w:rPr>
        <w:t>必须为新制造的全新设备，采用成熟技术和结构，关键件及设备</w:t>
      </w:r>
      <w:r>
        <w:rPr>
          <w:rFonts w:ascii="宋体" w:hAnsi="宋体"/>
          <w:sz w:val="24"/>
          <w:szCs w:val="24"/>
          <w:highlight w:val="none"/>
        </w:rPr>
        <w:t>主</w:t>
      </w:r>
      <w:r>
        <w:rPr>
          <w:rFonts w:hint="eastAsia" w:ascii="宋体" w:hAnsi="宋体"/>
          <w:sz w:val="24"/>
          <w:szCs w:val="24"/>
          <w:highlight w:val="none"/>
        </w:rPr>
        <w:t>体</w:t>
      </w:r>
      <w:r>
        <w:rPr>
          <w:rFonts w:hint="eastAsia" w:ascii="宋体" w:hAnsi="宋体"/>
          <w:sz w:val="24"/>
          <w:szCs w:val="24"/>
          <w:highlight w:val="none"/>
          <w:lang w:val="en-US" w:eastAsia="zh-CN"/>
        </w:rPr>
        <w:t>必须</w:t>
      </w:r>
      <w:r>
        <w:rPr>
          <w:rFonts w:hint="eastAsia" w:ascii="宋体" w:hAnsi="宋体"/>
          <w:sz w:val="24"/>
          <w:szCs w:val="24"/>
          <w:highlight w:val="none"/>
        </w:rPr>
        <w:t>采用</w:t>
      </w:r>
      <w:r>
        <w:rPr>
          <w:rFonts w:hint="eastAsia" w:ascii="宋体" w:hAnsi="宋体"/>
          <w:sz w:val="24"/>
          <w:szCs w:val="24"/>
          <w:highlight w:val="none"/>
          <w:lang w:val="en-US" w:eastAsia="zh-CN"/>
        </w:rPr>
        <w:t>进口</w:t>
      </w:r>
      <w:r>
        <w:rPr>
          <w:rFonts w:hint="eastAsia" w:ascii="宋体" w:hAnsi="宋体"/>
          <w:sz w:val="24"/>
          <w:szCs w:val="24"/>
          <w:highlight w:val="none"/>
        </w:rPr>
        <w:t>名优产品；结构设计合理，性能稳定可靠；在工作状态时，有足够的静态、动态刚度，保证系统具有良好的动态品质；所选数控驱动系统和执行部件精度、响应速度符合设计标准。可长期满足加工零件的工艺及产品的质量要求。密封性能优良无漏油现象</w:t>
      </w:r>
      <w:r>
        <w:rPr>
          <w:rFonts w:hint="eastAsia" w:ascii="宋体" w:hAnsi="宋体"/>
          <w:sz w:val="24"/>
          <w:szCs w:val="24"/>
        </w:rPr>
        <w:t>，操作维修方便、安全，整机造型美观，售后服务优良。</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.2</w:t>
      </w:r>
      <w:r>
        <w:rPr>
          <w:rFonts w:hint="eastAsia" w:ascii="宋体" w:hAnsi="宋体"/>
          <w:sz w:val="24"/>
          <w:szCs w:val="24"/>
        </w:rPr>
        <w:t>投标方积极协助和提供招标方和招标方所委托的工程设计单位有关人员所需要的、和设备（或材料）有关的工程设计资料、技术咨询等。</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w:t>
      </w:r>
      <w:r>
        <w:rPr>
          <w:rFonts w:hint="eastAsia" w:ascii="宋体" w:hAnsi="宋体"/>
          <w:sz w:val="24"/>
          <w:szCs w:val="24"/>
        </w:rPr>
        <w:t>3</w:t>
      </w:r>
      <w:r>
        <w:rPr>
          <w:rFonts w:ascii="宋体" w:hAnsi="宋体"/>
          <w:sz w:val="24"/>
          <w:szCs w:val="24"/>
        </w:rPr>
        <w:t xml:space="preserve"> </w:t>
      </w:r>
      <w:bookmarkStart w:id="41" w:name="OLE_LINK9"/>
      <w:r>
        <w:rPr>
          <w:rFonts w:hint="eastAsia" w:ascii="宋体" w:hAnsi="宋体"/>
          <w:sz w:val="24"/>
          <w:szCs w:val="24"/>
        </w:rPr>
        <w:t>投标方所供的设备</w:t>
      </w:r>
      <w:bookmarkEnd w:id="41"/>
      <w:r>
        <w:rPr>
          <w:rFonts w:hint="eastAsia" w:ascii="宋体" w:hAnsi="宋体"/>
          <w:sz w:val="24"/>
          <w:szCs w:val="24"/>
        </w:rPr>
        <w:t>，必须符合中国最新版的法律、法规和相关标准、规范的要求。</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w:t>
      </w:r>
      <w:r>
        <w:rPr>
          <w:rFonts w:hint="eastAsia" w:ascii="宋体" w:hAnsi="宋体"/>
          <w:sz w:val="24"/>
          <w:szCs w:val="24"/>
        </w:rPr>
        <w:t>4</w:t>
      </w:r>
      <w:r>
        <w:rPr>
          <w:rFonts w:ascii="宋体" w:hAnsi="宋体"/>
          <w:sz w:val="24"/>
          <w:szCs w:val="24"/>
        </w:rPr>
        <w:t xml:space="preserve"> </w:t>
      </w:r>
      <w:r>
        <w:rPr>
          <w:rFonts w:hint="eastAsia" w:ascii="宋体" w:hAnsi="宋体"/>
          <w:sz w:val="24"/>
          <w:szCs w:val="24"/>
        </w:rPr>
        <w:t>投标方所供设备涉及的专利权技术以及知识产权保护其它技术等，应保证招标方不因此受到第三方侵权指控以及实际损失。</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 xml:space="preserve">.6 </w:t>
      </w:r>
      <w:r>
        <w:rPr>
          <w:rFonts w:hint="eastAsia" w:ascii="宋体" w:hAnsi="宋体"/>
          <w:sz w:val="24"/>
          <w:szCs w:val="24"/>
        </w:rPr>
        <w:t>投标方应满足招标方提出的各项技术要求，并为全新设备。</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 xml:space="preserve">.7 </w:t>
      </w:r>
      <w:r>
        <w:rPr>
          <w:rFonts w:hint="eastAsia" w:ascii="宋体" w:hAnsi="宋体"/>
          <w:sz w:val="24"/>
          <w:szCs w:val="24"/>
        </w:rPr>
        <w:t>投标方应对招标方采购的设备所涉及的技术、产能等信息负有保密义务。</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highlight w:val="none"/>
        </w:rPr>
      </w:pPr>
      <w:r>
        <w:rPr>
          <w:rFonts w:hint="eastAsia" w:ascii="宋体" w:hAnsi="宋体"/>
          <w:sz w:val="24"/>
          <w:szCs w:val="24"/>
          <w:lang w:val="en-US" w:eastAsia="zh-CN"/>
        </w:rPr>
        <w:t>2.1</w:t>
      </w:r>
      <w:r>
        <w:rPr>
          <w:rFonts w:ascii="宋体" w:hAnsi="宋体"/>
          <w:sz w:val="24"/>
          <w:szCs w:val="24"/>
        </w:rPr>
        <w:t xml:space="preserve">.8 </w:t>
      </w:r>
      <w:r>
        <w:rPr>
          <w:rFonts w:hint="eastAsia" w:ascii="宋体" w:hAnsi="宋体"/>
          <w:sz w:val="24"/>
          <w:szCs w:val="24"/>
        </w:rPr>
        <w:t>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w:t>
      </w:r>
      <w:r>
        <w:rPr>
          <w:rFonts w:hint="eastAsia" w:ascii="宋体" w:hAnsi="宋体"/>
          <w:sz w:val="24"/>
          <w:szCs w:val="24"/>
          <w:highlight w:val="none"/>
        </w:rPr>
        <w:t>若有异议，不管是多么微小，都应在投标文件“技术偏离”中予以详细说明。</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w:t>
      </w:r>
      <w:r>
        <w:rPr>
          <w:rFonts w:hint="eastAsia" w:ascii="宋体" w:hAnsi="宋体"/>
          <w:sz w:val="24"/>
          <w:szCs w:val="24"/>
          <w:lang w:val="en-US" w:eastAsia="zh-CN"/>
        </w:rPr>
        <w:t>9</w:t>
      </w:r>
      <w:r>
        <w:rPr>
          <w:rFonts w:hint="eastAsia" w:ascii="宋体" w:hAnsi="宋体"/>
          <w:sz w:val="24"/>
          <w:szCs w:val="24"/>
        </w:rPr>
        <w:t>本技术要求所使用的标准、规范等，如与投标方所执行的标准、规范不一致时，应按高于本技术要求所列的标准、规范执行，并在投标文件“技术偏离”中予以说明。</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.1</w:t>
      </w:r>
      <w:r>
        <w:rPr>
          <w:rFonts w:hint="eastAsia" w:ascii="宋体" w:hAnsi="宋体"/>
          <w:sz w:val="24"/>
          <w:szCs w:val="24"/>
          <w:lang w:val="en-US" w:eastAsia="zh-CN"/>
        </w:rPr>
        <w:t>0</w:t>
      </w:r>
      <w:r>
        <w:rPr>
          <w:rFonts w:ascii="宋体" w:hAnsi="宋体"/>
          <w:sz w:val="24"/>
          <w:szCs w:val="24"/>
        </w:rPr>
        <w:t xml:space="preserve"> </w:t>
      </w:r>
      <w:r>
        <w:rPr>
          <w:rFonts w:hint="eastAsia" w:ascii="宋体" w:hAnsi="宋体"/>
          <w:sz w:val="24"/>
          <w:szCs w:val="24"/>
        </w:rPr>
        <w:t>投标方认为所供货物必需由招标方配备、解决或提供的其它要求，如设备基础隔振和减振设施、软化水、洁净气源等，均应在投标文件“技术偏离”中予以充分说明。</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.1</w:t>
      </w:r>
      <w:r>
        <w:rPr>
          <w:rFonts w:hint="eastAsia" w:ascii="宋体" w:hAnsi="宋体"/>
          <w:sz w:val="24"/>
          <w:szCs w:val="24"/>
          <w:lang w:val="en-US" w:eastAsia="zh-CN"/>
        </w:rPr>
        <w:t>1</w:t>
      </w:r>
      <w:r>
        <w:rPr>
          <w:rFonts w:ascii="宋体" w:hAnsi="宋体"/>
          <w:sz w:val="24"/>
          <w:szCs w:val="24"/>
        </w:rPr>
        <w:t xml:space="preserve"> </w:t>
      </w:r>
      <w:r>
        <w:rPr>
          <w:rFonts w:hint="eastAsia" w:ascii="宋体" w:hAnsi="宋体"/>
          <w:sz w:val="24"/>
          <w:szCs w:val="24"/>
        </w:rPr>
        <w:t>投标方可以根据自身经验以及对本技术规范书和招标文件的理解，写明招标方招标设备（或材料）应进行的优于招标文件要求的其它方案或建议意见；投标方的这些努力，招标方表示感谢，并将有助于投标方优先胜出；即使有建议意见或建议方案，仍应依据招标文件要求，编写符合要求的投标文件。建议方案或建议意见，应以单独篇章或文件，予以说明。</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rPr>
        <w:t>*</w:t>
      </w:r>
      <w:r>
        <w:rPr>
          <w:rFonts w:hint="eastAsia" w:ascii="宋体" w:hAnsi="宋体"/>
          <w:sz w:val="24"/>
          <w:szCs w:val="24"/>
          <w:lang w:val="en-US" w:eastAsia="zh-CN"/>
        </w:rPr>
        <w:t>2.1</w:t>
      </w:r>
      <w:r>
        <w:rPr>
          <w:rFonts w:hint="eastAsia" w:ascii="宋体" w:hAnsi="宋体"/>
          <w:sz w:val="24"/>
          <w:szCs w:val="24"/>
        </w:rPr>
        <w:t>.1</w:t>
      </w:r>
      <w:r>
        <w:rPr>
          <w:rFonts w:hint="eastAsia" w:ascii="宋体" w:hAnsi="宋体"/>
          <w:sz w:val="24"/>
          <w:szCs w:val="24"/>
          <w:lang w:val="en-US" w:eastAsia="zh-CN"/>
        </w:rPr>
        <w:t>2</w:t>
      </w:r>
      <w:r>
        <w:rPr>
          <w:rFonts w:hint="eastAsia" w:ascii="宋体" w:hAnsi="宋体"/>
          <w:sz w:val="24"/>
          <w:szCs w:val="24"/>
        </w:rPr>
        <w:t>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sz w:val="24"/>
          <w:szCs w:val="24"/>
        </w:rPr>
      </w:pPr>
      <w:r>
        <w:rPr>
          <w:rFonts w:hint="eastAsia" w:ascii="宋体" w:hAnsi="宋体"/>
          <w:sz w:val="24"/>
          <w:szCs w:val="24"/>
        </w:rPr>
        <w:t>*</w:t>
      </w:r>
      <w:r>
        <w:rPr>
          <w:rFonts w:hint="eastAsia" w:ascii="宋体" w:hAnsi="宋体"/>
          <w:sz w:val="24"/>
          <w:szCs w:val="24"/>
          <w:lang w:val="en-US" w:eastAsia="zh-CN"/>
        </w:rPr>
        <w:t>2.1</w:t>
      </w:r>
      <w:r>
        <w:rPr>
          <w:rFonts w:hint="eastAsia" w:ascii="宋体" w:hAnsi="宋体"/>
          <w:sz w:val="24"/>
          <w:szCs w:val="24"/>
        </w:rPr>
        <w:t>.1</w:t>
      </w:r>
      <w:r>
        <w:rPr>
          <w:rFonts w:hint="eastAsia" w:ascii="宋体" w:hAnsi="宋体"/>
          <w:sz w:val="24"/>
          <w:szCs w:val="24"/>
          <w:lang w:val="en-US" w:eastAsia="zh-CN"/>
        </w:rPr>
        <w:t>3</w:t>
      </w:r>
      <w:r>
        <w:rPr>
          <w:rFonts w:hint="eastAsia" w:ascii="宋体" w:hAnsi="宋体"/>
          <w:sz w:val="24"/>
          <w:szCs w:val="24"/>
        </w:rPr>
        <w:t>在本标书中没有提及到的部分，所有供应商必须保证设备各部分功能齐全并便于使用，这部分价格应该包含在报价中，而不得另行加价。</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宋体" w:hAnsi="宋体" w:eastAsia="宋体"/>
          <w:sz w:val="24"/>
          <w:szCs w:val="24"/>
          <w:highlight w:val="none"/>
          <w:lang w:val="en-US" w:eastAsia="zh-CN"/>
        </w:rPr>
      </w:pPr>
      <w:r>
        <w:rPr>
          <w:rFonts w:hint="eastAsia" w:ascii="宋体" w:hAnsi="宋体"/>
          <w:sz w:val="24"/>
          <w:szCs w:val="24"/>
          <w:highlight w:val="none"/>
        </w:rPr>
        <w:t>*</w:t>
      </w:r>
      <w:r>
        <w:rPr>
          <w:rFonts w:hint="eastAsia" w:ascii="宋体" w:hAnsi="宋体"/>
          <w:sz w:val="24"/>
          <w:szCs w:val="24"/>
          <w:highlight w:val="none"/>
          <w:lang w:val="en-US" w:eastAsia="zh-CN"/>
        </w:rPr>
        <w:t>2.1.14投标方必须具备自主设计产线拧紧方案的能力，能够根据产线布置设计出最佳拧紧方案，并在中国重汽集团有产线拧紧机项目成功案例。</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sz w:val="24"/>
          <w:szCs w:val="24"/>
          <w:lang w:val="en-US" w:eastAsia="zh-CN"/>
        </w:rPr>
        <w:t>2.1</w:t>
      </w:r>
      <w:r>
        <w:rPr>
          <w:rFonts w:ascii="宋体" w:hAnsi="宋体"/>
          <w:sz w:val="24"/>
          <w:szCs w:val="24"/>
        </w:rPr>
        <w:t>.1</w:t>
      </w:r>
      <w:r>
        <w:rPr>
          <w:rFonts w:hint="eastAsia" w:ascii="宋体" w:hAnsi="宋体"/>
          <w:sz w:val="24"/>
          <w:szCs w:val="24"/>
          <w:lang w:val="en-US" w:eastAsia="zh-CN"/>
        </w:rPr>
        <w:t>5</w:t>
      </w:r>
      <w:r>
        <w:rPr>
          <w:rFonts w:hint="eastAsia" w:ascii="宋体" w:hAnsi="宋体"/>
          <w:sz w:val="24"/>
          <w:szCs w:val="24"/>
        </w:rPr>
        <w:t>本招标文件中所有加注“</w:t>
      </w:r>
      <w:r>
        <w:rPr>
          <w:rFonts w:ascii="宋体" w:hAnsi="宋体"/>
          <w:sz w:val="24"/>
          <w:szCs w:val="24"/>
        </w:rPr>
        <w:t>*</w:t>
      </w:r>
      <w:r>
        <w:rPr>
          <w:rFonts w:hint="eastAsia" w:ascii="宋体" w:hAnsi="宋体"/>
          <w:sz w:val="24"/>
          <w:szCs w:val="24"/>
        </w:rPr>
        <w:t>”的条款为否决项，不允许出现偏离。</w:t>
      </w:r>
    </w:p>
    <w:p>
      <w:pPr>
        <w:spacing w:line="360" w:lineRule="auto"/>
        <w:rPr>
          <w:rFonts w:hint="eastAsia" w:ascii="宋体" w:hAnsi="宋体" w:eastAsia="宋体" w:cs="Times New Roman"/>
          <w:b/>
          <w:bCs/>
          <w:color w:val="auto"/>
          <w:sz w:val="24"/>
          <w:szCs w:val="24"/>
          <w:highlight w:val="none"/>
          <w:lang w:val="en-US" w:eastAsia="zh-CN"/>
        </w:rPr>
      </w:pPr>
      <w:r>
        <w:rPr>
          <w:rFonts w:hint="eastAsia" w:ascii="宋体" w:hAnsi="宋体" w:eastAsia="宋体" w:cs="Times New Roman"/>
          <w:b/>
          <w:bCs/>
          <w:color w:val="auto"/>
          <w:sz w:val="24"/>
          <w:szCs w:val="24"/>
          <w:highlight w:val="none"/>
          <w:lang w:val="en-US" w:eastAsia="zh-CN"/>
        </w:rPr>
        <w:t>2.2、主要技术参数</w:t>
      </w:r>
    </w:p>
    <w:tbl>
      <w:tblPr>
        <w:tblStyle w:val="38"/>
        <w:tblW w:w="46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834"/>
        <w:gridCol w:w="673"/>
        <w:gridCol w:w="641"/>
        <w:gridCol w:w="96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424"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31"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工具</w:t>
            </w:r>
            <w:r>
              <w:rPr>
                <w:rFonts w:hint="eastAsia" w:ascii="宋体" w:hAnsi="宋体" w:eastAsia="宋体" w:cs="宋体"/>
                <w:color w:val="auto"/>
                <w:sz w:val="21"/>
                <w:szCs w:val="21"/>
                <w:highlight w:val="none"/>
              </w:rPr>
              <w:t>名称</w:t>
            </w:r>
          </w:p>
        </w:tc>
        <w:tc>
          <w:tcPr>
            <w:tcW w:w="387"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369" w:type="pc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555" w:type="pct"/>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量程</w:t>
            </w:r>
          </w:p>
        </w:tc>
        <w:tc>
          <w:tcPr>
            <w:tcW w:w="1632" w:type="pct"/>
            <w:vAlign w:val="center"/>
          </w:tcPr>
          <w:p>
            <w:pPr>
              <w:tabs>
                <w:tab w:val="left" w:pos="-2340"/>
              </w:tabs>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w:t>
            </w:r>
            <w:r>
              <w:rPr>
                <w:rFonts w:hint="eastAsia" w:ascii="宋体" w:hAnsi="宋体" w:cs="宋体"/>
                <w:i w:val="0"/>
                <w:iCs w:val="0"/>
                <w:color w:val="auto"/>
                <w:kern w:val="0"/>
                <w:sz w:val="21"/>
                <w:szCs w:val="21"/>
                <w:u w:val="none"/>
                <w:lang w:val="en-US" w:eastAsia="zh-CN" w:bidi="ar"/>
              </w:rPr>
              <w:t>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5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20-100</w:t>
            </w:r>
          </w:p>
        </w:tc>
        <w:tc>
          <w:tcPr>
            <w:tcW w:w="1632" w:type="pct"/>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拧紧发动机与变速器连接螺栓，弯头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w:t>
            </w:r>
            <w:r>
              <w:rPr>
                <w:rFonts w:hint="eastAsia" w:ascii="宋体" w:hAnsi="宋体" w:cs="宋体"/>
                <w:i w:val="0"/>
                <w:iCs w:val="0"/>
                <w:color w:val="auto"/>
                <w:kern w:val="0"/>
                <w:sz w:val="21"/>
                <w:szCs w:val="21"/>
                <w:u w:val="none"/>
                <w:lang w:val="en-US" w:eastAsia="zh-CN" w:bidi="ar"/>
              </w:rPr>
              <w:t>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5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20-100</w:t>
            </w:r>
          </w:p>
        </w:tc>
        <w:tc>
          <w:tcPr>
            <w:tcW w:w="1632"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拧紧发动机悬置与车架连接螺栓，需使用特殊头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w:t>
            </w:r>
            <w:r>
              <w:rPr>
                <w:rFonts w:hint="eastAsia" w:ascii="宋体" w:hAnsi="宋体" w:cs="宋体"/>
                <w:i w:val="0"/>
                <w:iCs w:val="0"/>
                <w:color w:val="auto"/>
                <w:kern w:val="0"/>
                <w:sz w:val="21"/>
                <w:szCs w:val="21"/>
                <w:u w:val="none"/>
                <w:lang w:val="en-US" w:eastAsia="zh-CN" w:bidi="ar"/>
              </w:rPr>
              <w:t>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w:t>
            </w:r>
          </w:p>
        </w:tc>
        <w:tc>
          <w:tcPr>
            <w:tcW w:w="55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30-150</w:t>
            </w:r>
          </w:p>
        </w:tc>
        <w:tc>
          <w:tcPr>
            <w:tcW w:w="1632" w:type="pct"/>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拧紧车身悬置与车架连接螺栓，直柄，需使用反力杆或助力机械手，配套筒选择器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w:t>
            </w:r>
            <w:r>
              <w:rPr>
                <w:rFonts w:hint="eastAsia" w:ascii="宋体" w:hAnsi="宋体" w:cs="宋体"/>
                <w:i w:val="0"/>
                <w:iCs w:val="0"/>
                <w:color w:val="auto"/>
                <w:kern w:val="0"/>
                <w:sz w:val="21"/>
                <w:szCs w:val="21"/>
                <w:u w:val="none"/>
                <w:lang w:val="en-US" w:eastAsia="zh-CN" w:bidi="ar"/>
              </w:rPr>
              <w:t>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5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15-50</w:t>
            </w:r>
          </w:p>
        </w:tc>
        <w:tc>
          <w:tcPr>
            <w:tcW w:w="1632"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拧紧座椅与驾驶室连接螺栓，需使用特殊头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w:t>
            </w:r>
            <w:r>
              <w:rPr>
                <w:rFonts w:hint="eastAsia" w:ascii="宋体" w:hAnsi="宋体" w:cs="宋体"/>
                <w:i w:val="0"/>
                <w:iCs w:val="0"/>
                <w:color w:val="auto"/>
                <w:kern w:val="0"/>
                <w:sz w:val="21"/>
                <w:szCs w:val="21"/>
                <w:u w:val="none"/>
                <w:lang w:val="en-US" w:eastAsia="zh-CN" w:bidi="ar"/>
              </w:rPr>
              <w:t>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55" w:type="pct"/>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15-70</w:t>
            </w:r>
          </w:p>
        </w:tc>
        <w:tc>
          <w:tcPr>
            <w:tcW w:w="1632" w:type="pct"/>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拧紧安全带与驾驶室连接螺栓，弯头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气动油压脉冲定扭力扳手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55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40-72</w:t>
            </w:r>
          </w:p>
        </w:tc>
        <w:tc>
          <w:tcPr>
            <w:tcW w:w="1632" w:type="pct"/>
            <w:vAlign w:val="center"/>
          </w:tcPr>
          <w:p>
            <w:pPr>
              <w:jc w:val="center"/>
              <w:rPr>
                <w:rFonts w:hint="eastAsia" w:ascii="宋体" w:hAnsi="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气动油压脉冲定扭力扳手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5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180-255</w:t>
            </w:r>
          </w:p>
        </w:tc>
        <w:tc>
          <w:tcPr>
            <w:tcW w:w="1632" w:type="pct"/>
            <w:vAlign w:val="center"/>
          </w:tcPr>
          <w:p>
            <w:pPr>
              <w:jc w:val="center"/>
              <w:rPr>
                <w:rFonts w:hint="eastAsia" w:ascii="宋体" w:hAnsi="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电动油压脉冲定扭力扳手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55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10-20</w:t>
            </w:r>
          </w:p>
        </w:tc>
        <w:tc>
          <w:tcPr>
            <w:tcW w:w="1632" w:type="pct"/>
            <w:vAlign w:val="center"/>
          </w:tcPr>
          <w:p>
            <w:pPr>
              <w:jc w:val="center"/>
              <w:rPr>
                <w:rFonts w:hint="eastAsia" w:ascii="宋体" w:hAnsi="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4" w:type="pct"/>
            <w:shd w:val="clear" w:color="auto" w:fill="auto"/>
            <w:vAlign w:val="center"/>
          </w:tcPr>
          <w:p>
            <w:pPr>
              <w:jc w:val="center"/>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16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气动油压脉冲定扭力扳手</w:t>
            </w:r>
          </w:p>
        </w:tc>
        <w:tc>
          <w:tcPr>
            <w:tcW w:w="38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3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55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230-450</w:t>
            </w:r>
          </w:p>
        </w:tc>
        <w:tc>
          <w:tcPr>
            <w:tcW w:w="1632" w:type="pct"/>
            <w:vAlign w:val="center"/>
          </w:tcPr>
          <w:p>
            <w:pPr>
              <w:jc w:val="center"/>
              <w:rPr>
                <w:rFonts w:hint="eastAsia" w:ascii="宋体" w:hAnsi="宋体" w:cs="宋体"/>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eastAsia="宋体" w:cs="Times New Roman"/>
          <w:sz w:val="24"/>
          <w:szCs w:val="24"/>
          <w:lang w:val="en-US" w:eastAsia="zh-CN"/>
        </w:rPr>
        <w:t>备注：招标方提供的清单仅供参考，由投标方深化设计确定，满足功能要求。如有不满足功能性要求的情况，投标方应无条件增补。</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设备材质：</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使用寿命：至少30 年</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 质保期为：自验收合格之日起2年 </w:t>
      </w:r>
    </w:p>
    <w:p>
      <w:pPr>
        <w:spacing w:line="360" w:lineRule="auto"/>
        <w:rPr>
          <w:rFonts w:hint="eastAsia" w:ascii="宋体" w:hAnsi="宋体" w:eastAsia="宋体" w:cs="Times New Roman"/>
          <w:b/>
          <w:bCs/>
          <w:color w:val="auto"/>
          <w:sz w:val="24"/>
          <w:szCs w:val="24"/>
          <w:highlight w:val="none"/>
          <w:lang w:val="en-US" w:eastAsia="zh-CN"/>
        </w:rPr>
      </w:pPr>
      <w:bookmarkStart w:id="42" w:name="_Toc22882"/>
      <w:bookmarkStart w:id="43" w:name="_Toc24618"/>
      <w:r>
        <w:rPr>
          <w:rFonts w:hint="eastAsia" w:ascii="宋体" w:hAnsi="宋体" w:eastAsia="宋体" w:cs="Times New Roman"/>
          <w:b/>
          <w:bCs/>
          <w:color w:val="auto"/>
          <w:sz w:val="24"/>
          <w:szCs w:val="24"/>
          <w:highlight w:val="none"/>
          <w:lang w:val="en-US" w:eastAsia="zh-CN"/>
        </w:rPr>
        <w:t>3、</w:t>
      </w:r>
      <w:bookmarkStart w:id="44" w:name="_Toc41384486"/>
      <w:bookmarkStart w:id="45" w:name="_Toc41384687"/>
      <w:r>
        <w:rPr>
          <w:rFonts w:hint="eastAsia" w:ascii="宋体" w:hAnsi="宋体" w:eastAsia="宋体" w:cs="Times New Roman"/>
          <w:b/>
          <w:bCs/>
          <w:color w:val="auto"/>
          <w:sz w:val="24"/>
          <w:szCs w:val="24"/>
          <w:highlight w:val="none"/>
          <w:lang w:val="en-US" w:eastAsia="zh-CN"/>
        </w:rPr>
        <w:t>质量标准</w:t>
      </w:r>
      <w:bookmarkEnd w:id="42"/>
      <w:bookmarkEnd w:id="43"/>
      <w:bookmarkEnd w:id="44"/>
      <w:bookmarkEnd w:id="45"/>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3.1常规要求：按照下列国家（行业）标准执行</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3.1.1GB3787-93手持式电动工具国家标准</w:t>
      </w:r>
    </w:p>
    <w:p>
      <w:pPr>
        <w:spacing w:line="360" w:lineRule="auto"/>
        <w:rPr>
          <w:rFonts w:hint="eastAsia" w:ascii="宋体" w:hAnsi="宋体" w:eastAsia="宋体" w:cs="Times New Roman"/>
          <w:b/>
          <w:bCs/>
          <w:color w:val="auto"/>
          <w:sz w:val="24"/>
          <w:szCs w:val="24"/>
          <w:highlight w:val="none"/>
          <w:lang w:val="en-US" w:eastAsia="zh-CN"/>
        </w:rPr>
      </w:pPr>
      <w:bookmarkStart w:id="46" w:name="_Toc9140"/>
      <w:bookmarkStart w:id="47" w:name="_Toc41384688"/>
      <w:bookmarkStart w:id="48" w:name="_Toc2573"/>
      <w:bookmarkStart w:id="49" w:name="_Toc159998025"/>
      <w:bookmarkStart w:id="50" w:name="_Toc41384487"/>
      <w:r>
        <w:rPr>
          <w:rFonts w:hint="eastAsia" w:ascii="宋体" w:hAnsi="宋体" w:eastAsia="宋体" w:cs="Times New Roman"/>
          <w:b/>
          <w:bCs/>
          <w:color w:val="auto"/>
          <w:sz w:val="24"/>
          <w:szCs w:val="24"/>
          <w:highlight w:val="none"/>
          <w:lang w:val="en-US" w:eastAsia="zh-CN"/>
        </w:rPr>
        <w:t>4、结构性能及技术要求</w:t>
      </w:r>
      <w:bookmarkEnd w:id="46"/>
      <w:bookmarkEnd w:id="47"/>
      <w:bookmarkEnd w:id="48"/>
      <w:bookmarkEnd w:id="49"/>
      <w:bookmarkEnd w:id="50"/>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4.1通用条款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工具设计制造及使用应符合ISO5393标准；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所有零部件和各种仪表的计量单位全部采用国际单位标准（SI）标准；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投标方所提供的产品必须为国际名优品牌，必须是全新的、原产地生产的、同类产品中最先进的可靠的产品，并提供相关证明材料，如前期同种规格的报关单据等；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设备工具的选择必须考虑作业姿势，使用空间，紧固速度等因素，必须满足工艺扭矩设定值及生产节拍，序号1-10工具拧紧精度不低于±10%；序号11-15工具拧紧精度不低于±3%，角度精度不低于±2º；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所选设备的扭矩范围对应招标方要求的目标扭矩应有50%及以上的储备量，即设备扭矩最大值≥目标扭矩*1.5；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正常使用100万次以内免维护，工具寿命不低于30年；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工具稳定性必须达到：CMK≥1.67；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在1个校准周期内（暂定12个月），设备设定扭矩值偏差不大于±3%，即（扭矩传感器示值-设备设定扭矩值）/设备设定扭矩值≤±3%；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驱动方榫应采用标准规格的驱动方榫，如3/8’、1/2’、1’等驱动头，驱动头具备高强度、耐磨损，保证与套筒、连杆等附件连接可靠、准确；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所有设备运行平稳，工作噪声等级≤65db；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所有设备在枪体50℃下，持续正常工作，无停机等故障；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所选设备具备模块化快速维修结构，便于维护及维修；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所选设备具备远程诊断功能，可监控设备运行情况；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投标方配合招标方开展所涉及装配工序的工艺开发工作，包括每道工序提供不少于2套专用套筒；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所选设备配备相应的悬挂装置，确保操作灵活、方便；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所选设备配备相应的抗扭装置，抗扭工装最大抗扭力≥所用设备扭矩最大值*1.5；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所选设备操作界面及附属软件、说明书等为中文；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所选设备扭矩控制采用扭矩传感器控制，不得使用电流控制；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所选设备优选直轴，选用的拧矩传感器在齿轮组前，更加靠近螺栓，确保传感器的准确性。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*设备质保期结束后提供5次免费标定、维护保养服务（包括但不限于内部润滑、隐患排查等），并出具标定及设备检测报告；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本招标文件中所有加注“*”的条款为否决项，不允许出现偏离。</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4.2设备组件要求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由拧紧工具、控制电缆、控制器等组成，控制器配备以太网接口、扫描枪接口、良好的闭环控制系统，可实现扭矩控制和角度控制等。每次拧紧过程结束后，拧紧值是否合格，控制器上都有相应的指示灯和数据显示，同时拧紧工具上也具有指示灯显示，并具备以下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扭矩可调,自动编程模式,记录多种拧紧程序；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力矩控制方式包括：控制扭矩/监测转角；控制转角／监测扭矩等；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具备报警信息和自诊断功能；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具备拧紧数据存储(含日期时间)功能；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可正转、反转，通过编辑拧紧程序方便地更改；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具有过电流、电压自动保护功能，并具有欠压自动保护功能；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带串口；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不合格管理；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配置快速备份单元,备份电枪内的所有程序以及结果可以通过USB接口输出；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工具支持热插拔；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单次拧紧不合格，拧紧机会报警提示；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 有具备扩展套筒选择器的功能，具有良好的互换性，具有良好的防错防漏功能；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增加控制把手、辅助把手，以方便操作，原则上可不使用原设备的控制开关。</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4.2.1拧紧控制器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每台拧紧工具配有控制器，具备人性化的操作界面；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显示屏（可外接）具备显示拧紧曲线、操作提示等功能；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控制箱采用标准放置架固定，原则上不得与设备工装随动；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控制器有独立的运行软件系统，面板上设有宽大的显示屏和按钮，控制器的所有功能设置可以通过连接笔记本电脑，通过工具软件轻松完成设置；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显示屏上能显示每次拧紧结束后的拧紧扭力大小及正确/错误报告、拧紧角度大小及正确/错误报告、拧紧日期及时间；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控制箱面板上能够设置程序、扭矩和角度；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可自动识别连接工具种类，调用相应储存数据，包括轴、弯头、枪式及特殊工具；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具有扭矩控制、扭矩控制/转角监测、转角控制、转角控制/扭矩监测、电流监控、时间监测，多步拧紧等功能，拧紧程序可根据需要选择不同的控制及监控方式；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具有多种拧紧程序，拧紧程序的数量不少于100组，具有参数的选择功能，以满足不同机型的不同扭矩要求；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具有操作者及管理者密码设定及保护功能；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器应具有强大的存储能力和快速备份能力，可以对拧紧过程中所有的参数进行存储，参数包括但不限于以下内容：条码、日期、时间、扭矩、拧紧角度、是否合格（OK/NOK），控制器本身可存储不小于5000组拧紧数据，如果控制器故障，设备维护人员能够立刻将所有数据包括拧紧程序直接备份到新的控制器上，以最大限度减少停线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控制器与拧紧轴或无线电枪原则上保持1对1配置（不做强制要求），并预留与生产线接口、USB接口等，具有接入无线条码枪结构；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器可存储拧紧过程的合格/不合格拧紧曲线，可根据需要自由设定坐标，如扭矩/时间、扭矩/角度、角度/时间等，控制器要求连接到拧紧系统服务器，可以实现结果、曲线实时上传，把每一个结果、曲线都存储于服务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电动拧紧工具要求配备无线条码枪，若设备集成条码扫描功能，则不需要提供条码扫描枪，条码为一维码；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多种扭矩拧紧轴要求配备套筒选择器进行扭矩切换，同时控制器操作面板具备扭矩切换功能；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控制器应具备网络连接功能，拧紧结果可通过多种形式导出；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控制器本体具有优良的散热系统及良好的防水功能且应方便安装及维修；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支持MES系统，可获取车辆信息，与所扫描条码比对，一致则可拧紧，并向MES反馈最终结果，不一致则报警提示，并记录错误信息。</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4.2.2拧紧控制柜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控制柜防护等级为IP65，通风口防护等级为IP54,柜内应有电源总开关，电源总开关的操作应设置在柜体外边，柜内配备照明设施，各电控柜内需有1个三孔电源插座（220VAC）、1个二孔电源插座（220VAC）和1个文件盒；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控制柜上装有声光报警装置（采用三色柱式灯和报警器）和状态指示；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具有手动、自动和半自动控制方式；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面板上装有急停和复位按钮。急停按钮是带蘑菇头的急停自锁按钮，操作面板上留有备用开关（按钮），每个开关和按钮处有动作内容标牌，标牌文字字母用白底黑字塑料制成可更换铭牌；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柜内所有元件粘贴有符号，所安装位置部位上也应有相应的符号。线号采用对应线径的标准线号管，打印线号字母或数字，不允许手写。所有操作按钮须标上相应的功能文字，应采用标准宋体,字体需持久耐磨不褪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所有电控柜（包括主控柜、操作面板、I/O柜、分线柜）按威图公司产品标准制作；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需配置显示拧紧状态的3色灯和蜂鸣报警器。</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4.2.3拧紧电缆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控制电缆线长度满足随线生产的要求，长度＞20米；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电缆为数字通讯，电缆有边缘保护和防漏电护套，电缆为进口品牌；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具有电缆自锁功能，可以防止电缆意外松脱而造成的部件维护等损失；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与拧紧轴相对应的电缆，每根电缆都应有清晰的编号；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电缆吊挂使用原厂附件。</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4．2.4拧紧工具悬挂及附件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电动工具、控制器放置型材架选用铝合金材质，按形式制作；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电动拧紧工具，配置至少4位套筒选择器；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套筒采用霹雳马或原厂品牌，套筒为快换结构，配备2套；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抗扭臂配置防坠安全带，套筒选择器固定在抗扭臂上；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悬挂系统由钢结构、移动导轨、吊挂装置组成；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设备具有极限限位装置，导轨两端末端具有极限限位装置，防止滑车移出轨道范围；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吊挂装置用于拧紧机操作体与轨道间的连接，使用平衡吊悬挂方案；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操作人员通过吊挂装置可轻松地使操作体上下活动和对位，操作力不大于2.5Kg；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悬挂抗扭臂小车拧紧过程，滑动自如，无卡滞；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拧紧设备悬吊系统轨道要求使用eepos铝合金轨道。</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4.2.5数据管理系统接入要求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所有设备可接入招标方的拧紧机数据管理系统，并支持MES系统；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数据管理系统用于存储、上传和导出拧紧系统的数据，同时存放数据采集分析程序及相关文件，导出格式为excel等；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可通过profibus等形式现场控制总线，将各个拧紧设备控制器联结起来，实现工控机对拧紧设备的实时控制，并对相关数据进行采集、存储、实时上传至MES系统，拧紧结果可追溯。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投标方需满足招标方以及第三方接入要求的硬件及软件条件；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设备可以实现数据管理系统应有的功能，包括但不限于数据采集分析软件实现对拧紧过程的实时监控，可采集现场所有拧紧工具和拧紧轴的数据；拧紧结果摘要列出拧紧结果合格与不合格的数量及百分比，并显示给定时间内的Cp和Cpk值等。</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4．2.6电气要求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系统具有抗干扰措施，确保控制系统软、硬件运行稳定；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拧紧机系统软件根据需要提供免费版本升级；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设备操作体上设有操作把手及可靠的漏电保护装置；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设备具有无线条码扫描枪及打印机的接口，既可实现条码扫描选型，也可进行人工选型，人工选型有权限设置；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整套设备电气、控制系统设计，制造，安装，选型依据设备维护、设备管理、生产节拍、物流及机械化传输设备等功能要求进行；并遵循国家相关电气标准、法规及环保、能源等要求；同时保证工艺参数控制准确，调整方便，设备运行安全、稳定、可靠；能在现有环境下保证生产的连续和产品的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电缆和电线须符合国家标准、设计及安全规范，导线颜色规范，电缆和电线必须穿电线管、软管或线槽，不能有中间接头，强弱电源线须分离布置，同一线槽必须用隔板隔开；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系统具有掉电、欠压、互锁等保护功能；电机具有断电、过电、过热及过载保护功能。</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4.3机械通用技术要求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设备外观应满足招标方的要求；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设备设计应合理，尽可能的减少占地面积，方便维护，在满足整体要求前提下，尽可能的将设备构造简单化；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工具操作系统符合人体工程学要求，便于操作；人机交互部分均以人体工程学规律正常工作舒适布局，易于紧急情况下辩识及动作；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工具与产品安装及装配过程中接触的部位和运动件均不得损坏及改变产品原有的质量水平；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投标方负责所有工具设备首次标定，并在工具上粘贴标定的时间及有效日期；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套筒选择器支撑、控制器悬挂支撑均包含在供货范围之中。</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bookmarkStart w:id="51" w:name="_Toc377040015"/>
      <w:r>
        <w:rPr>
          <w:rFonts w:hint="eastAsia" w:ascii="宋体" w:hAnsi="宋体" w:eastAsia="宋体" w:cs="Times New Roman"/>
          <w:sz w:val="24"/>
          <w:szCs w:val="24"/>
          <w:lang w:val="en-US" w:eastAsia="zh-CN"/>
        </w:rPr>
        <w:t>4.4安全、环保要求</w:t>
      </w:r>
      <w:bookmarkEnd w:id="5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电气柜电源开关可视化，裸露电线或导电装置要防护；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供电柜里要有良好的接地处理；柜内电缆和接线端子，如主电源开关的两端和变压器的两端等必须有效防护绝缘；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柜门至少能打开95度，柜门全开不会影响人员迅速离开供电柜；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手动按钮，按钮应是24V电压；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操作界面必须符合人机工程学标准；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噪音级别：设备单体运转时噪音小于65dB。</w:t>
      </w:r>
    </w:p>
    <w:p>
      <w:pPr>
        <w:spacing w:line="360" w:lineRule="auto"/>
        <w:rPr>
          <w:rFonts w:hint="eastAsia" w:ascii="宋体" w:hAnsi="宋体" w:eastAsia="宋体" w:cs="Times New Roman"/>
          <w:b/>
          <w:bCs/>
          <w:color w:val="auto"/>
          <w:sz w:val="24"/>
          <w:szCs w:val="24"/>
          <w:highlight w:val="none"/>
          <w:lang w:val="en-US" w:eastAsia="zh-CN"/>
        </w:rPr>
      </w:pPr>
      <w:r>
        <w:rPr>
          <w:rFonts w:hint="eastAsia" w:ascii="宋体" w:hAnsi="宋体" w:eastAsia="宋体" w:cs="Times New Roman"/>
          <w:b/>
          <w:bCs/>
          <w:color w:val="auto"/>
          <w:sz w:val="24"/>
          <w:szCs w:val="24"/>
          <w:highlight w:val="none"/>
          <w:lang w:val="en-US" w:eastAsia="zh-CN"/>
        </w:rPr>
        <w:t>5、设备结构要求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工具采用吊挂与反力工装相结合的形式，分别由吊挂支架、反力工装、工具悬挂装置、防护装置（含防坠落装置）及控制系统组成。投标方根据招标明细中的使用部位及力矩大小结合以往设计经验，确定工具的反力工装，此装置应符合先进的设计理念和制造水平。形式参考下图，投标方可根据实际情况进行优化</w:t>
      </w:r>
    </w:p>
    <w:p>
      <w:pPr>
        <w:ind w:firstLine="482"/>
        <w:jc w:val="center"/>
        <w:rPr>
          <w:rFonts w:ascii="宋体" w:hAnsi="宋体"/>
          <w:sz w:val="24"/>
          <w:szCs w:val="24"/>
        </w:rPr>
      </w:pPr>
      <w:r>
        <w:rPr>
          <w:rFonts w:ascii="宋体" w:hAnsi="宋体"/>
          <w:sz w:val="24"/>
          <w:szCs w:val="24"/>
        </w:rPr>
        <w:drawing>
          <wp:inline distT="0" distB="0" distL="0" distR="0">
            <wp:extent cx="2651125" cy="1672590"/>
            <wp:effectExtent l="0" t="0" r="15875" b="3810"/>
            <wp:docPr id="14" name="图片 26" descr="E:\项目\2020项目\04 智能网联（新能源）重卡装配线项目\01 参考资料\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descr="E:\项目\2020项目\04 智能网联（新能源）重卡装配线项目\01 参考资料\图片1.png图片1"/>
                    <pic:cNvPicPr>
                      <a:picLocks noChangeAspect="1" noChangeArrowheads="1"/>
                    </pic:cNvPicPr>
                  </pic:nvPicPr>
                  <pic:blipFill>
                    <a:blip r:embed="rId35"/>
                    <a:srcRect t="10428" r="-288" b="11812"/>
                    <a:stretch>
                      <a:fillRect/>
                    </a:stretch>
                  </pic:blipFill>
                  <pic:spPr>
                    <a:xfrm>
                      <a:off x="0" y="0"/>
                      <a:ext cx="2651125" cy="1672590"/>
                    </a:xfrm>
                    <a:prstGeom prst="rect">
                      <a:avLst/>
                    </a:prstGeom>
                    <a:noFill/>
                    <a:ln w="9525">
                      <a:noFill/>
                      <a:miter lim="800000"/>
                      <a:headEnd/>
                      <a:tailEnd/>
                    </a:ln>
                  </pic:spPr>
                </pic:pic>
              </a:graphicData>
            </a:graphic>
          </wp:inline>
        </w:drawing>
      </w:r>
    </w:p>
    <w:p>
      <w:pPr>
        <w:ind w:firstLine="480"/>
        <w:jc w:val="left"/>
        <w:rPr>
          <w:rFonts w:ascii="宋体" w:hAnsi="宋体"/>
          <w:sz w:val="24"/>
          <w:szCs w:val="24"/>
        </w:rPr>
      </w:pPr>
      <w:r>
        <w:rPr>
          <w:rFonts w:hint="eastAsia" w:ascii="宋体" w:hAnsi="宋体"/>
          <w:sz w:val="24"/>
          <w:szCs w:val="24"/>
        </w:rPr>
        <w:t>工装参考形式如下图</w:t>
      </w:r>
    </w:p>
    <w:p>
      <w:pPr>
        <w:ind w:firstLine="480"/>
        <w:jc w:val="center"/>
        <w:rPr>
          <w:rFonts w:ascii="宋体" w:hAnsi="宋体"/>
          <w:sz w:val="24"/>
          <w:szCs w:val="24"/>
        </w:rPr>
      </w:pPr>
      <w:r>
        <w:rPr>
          <w:rFonts w:ascii="宋体" w:hAnsi="宋体"/>
          <w:sz w:val="24"/>
          <w:szCs w:val="24"/>
        </w:rPr>
        <w:drawing>
          <wp:inline distT="0" distB="0" distL="0" distR="0">
            <wp:extent cx="4472940" cy="1637665"/>
            <wp:effectExtent l="0" t="0" r="3810" b="63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noChangeArrowheads="1"/>
                    </pic:cNvPicPr>
                  </pic:nvPicPr>
                  <pic:blipFill>
                    <a:blip r:embed="rId36"/>
                    <a:srcRect/>
                    <a:stretch>
                      <a:fillRect/>
                    </a:stretch>
                  </pic:blipFill>
                  <pic:spPr>
                    <a:xfrm>
                      <a:off x="0" y="0"/>
                      <a:ext cx="4472940" cy="163766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设备技术性能如下：</w:t>
      </w:r>
    </w:p>
    <w:p>
      <w:pPr>
        <w:numPr>
          <w:ilvl w:val="0"/>
          <w:numId w:val="11"/>
        </w:numPr>
        <w:spacing w:line="360" w:lineRule="auto"/>
        <w:ind w:left="0" w:firstLine="480" w:firstLineChars="200"/>
        <w:jc w:val="left"/>
        <w:rPr>
          <w:rFonts w:ascii="宋体" w:hAnsi="宋体"/>
          <w:sz w:val="24"/>
          <w:szCs w:val="24"/>
        </w:rPr>
      </w:pPr>
      <w:r>
        <w:rPr>
          <w:rFonts w:hint="eastAsia" w:ascii="宋体" w:hAnsi="宋体"/>
          <w:sz w:val="24"/>
          <w:szCs w:val="24"/>
        </w:rPr>
        <w:t>设备可以实现上述项目所有作业</w:t>
      </w:r>
    </w:p>
    <w:p>
      <w:pPr>
        <w:numPr>
          <w:ilvl w:val="0"/>
          <w:numId w:val="11"/>
        </w:numPr>
        <w:spacing w:line="360" w:lineRule="auto"/>
        <w:ind w:left="0" w:firstLine="480" w:firstLineChars="200"/>
        <w:jc w:val="left"/>
        <w:rPr>
          <w:rFonts w:ascii="宋体" w:hAnsi="宋体"/>
          <w:sz w:val="24"/>
          <w:szCs w:val="24"/>
        </w:rPr>
      </w:pPr>
      <w:r>
        <w:rPr>
          <w:rFonts w:hint="eastAsia" w:ascii="宋体" w:hAnsi="宋体"/>
          <w:sz w:val="24"/>
          <w:szCs w:val="24"/>
        </w:rPr>
        <w:t xml:space="preserve">设备可以根据车型不同自动切换扭矩，扭矩切换准确无误 </w:t>
      </w:r>
    </w:p>
    <w:p>
      <w:pPr>
        <w:numPr>
          <w:ilvl w:val="0"/>
          <w:numId w:val="11"/>
        </w:numPr>
        <w:spacing w:line="360" w:lineRule="auto"/>
        <w:ind w:left="0" w:firstLine="480" w:firstLineChars="200"/>
        <w:jc w:val="left"/>
        <w:rPr>
          <w:rFonts w:ascii="宋体" w:hAnsi="宋体"/>
          <w:sz w:val="24"/>
          <w:szCs w:val="24"/>
        </w:rPr>
      </w:pPr>
      <w:r>
        <w:rPr>
          <w:rFonts w:hint="eastAsia" w:ascii="宋体" w:hAnsi="宋体"/>
          <w:sz w:val="24"/>
          <w:szCs w:val="24"/>
        </w:rPr>
        <w:t>系统全程平衡，操作灵活；硬性连接</w:t>
      </w:r>
    </w:p>
    <w:p>
      <w:pPr>
        <w:numPr>
          <w:ilvl w:val="0"/>
          <w:numId w:val="11"/>
        </w:numPr>
        <w:spacing w:line="360" w:lineRule="auto"/>
        <w:ind w:left="0" w:firstLine="480" w:firstLineChars="200"/>
        <w:jc w:val="left"/>
        <w:rPr>
          <w:rFonts w:ascii="宋体" w:hAnsi="宋体"/>
          <w:sz w:val="24"/>
          <w:szCs w:val="24"/>
        </w:rPr>
      </w:pPr>
      <w:r>
        <w:rPr>
          <w:rFonts w:hint="eastAsia" w:ascii="宋体" w:hAnsi="宋体"/>
          <w:sz w:val="24"/>
          <w:szCs w:val="24"/>
        </w:rPr>
        <w:t>额定负载：30Kg，目标扭矩不超过设备额定扭矩80%</w:t>
      </w:r>
    </w:p>
    <w:p>
      <w:pPr>
        <w:numPr>
          <w:ilvl w:val="0"/>
          <w:numId w:val="11"/>
        </w:numPr>
        <w:spacing w:line="360" w:lineRule="auto"/>
        <w:ind w:left="0" w:firstLine="480" w:firstLineChars="200"/>
        <w:jc w:val="left"/>
        <w:rPr>
          <w:rFonts w:ascii="宋体" w:hAnsi="宋体"/>
          <w:sz w:val="24"/>
          <w:szCs w:val="24"/>
        </w:rPr>
      </w:pPr>
      <w:r>
        <w:rPr>
          <w:rFonts w:hint="eastAsia" w:ascii="宋体" w:hAnsi="宋体"/>
          <w:sz w:val="24"/>
          <w:szCs w:val="24"/>
        </w:rPr>
        <w:t>设备拧紧高度：500-1500mm，公差±2mm（实际尺寸以现场而定）</w:t>
      </w:r>
    </w:p>
    <w:p>
      <w:pPr>
        <w:numPr>
          <w:ilvl w:val="0"/>
          <w:numId w:val="11"/>
        </w:numPr>
        <w:spacing w:line="360" w:lineRule="auto"/>
        <w:ind w:left="0" w:firstLine="480" w:firstLineChars="200"/>
        <w:jc w:val="left"/>
        <w:rPr>
          <w:rFonts w:ascii="宋体" w:hAnsi="宋体"/>
          <w:sz w:val="24"/>
          <w:szCs w:val="24"/>
        </w:rPr>
      </w:pPr>
      <w:r>
        <w:rPr>
          <w:rFonts w:hint="eastAsia" w:ascii="宋体" w:hAnsi="宋体"/>
          <w:sz w:val="24"/>
          <w:szCs w:val="24"/>
        </w:rPr>
        <w:t>拧紧控制方式：扭矩控制、角度监控，拧紧速度可调；对于涉及到不同车型，多种力矩模式的工具提供合理的解决途径</w:t>
      </w:r>
    </w:p>
    <w:p>
      <w:pPr>
        <w:numPr>
          <w:ilvl w:val="0"/>
          <w:numId w:val="11"/>
        </w:numPr>
        <w:spacing w:line="360" w:lineRule="auto"/>
        <w:ind w:left="0" w:firstLine="480" w:firstLineChars="200"/>
        <w:jc w:val="left"/>
        <w:rPr>
          <w:rFonts w:ascii="宋体" w:hAnsi="宋体"/>
          <w:sz w:val="24"/>
          <w:szCs w:val="24"/>
        </w:rPr>
      </w:pPr>
      <w:r>
        <w:rPr>
          <w:rFonts w:hint="eastAsia" w:ascii="宋体" w:hAnsi="宋体"/>
          <w:sz w:val="24"/>
          <w:szCs w:val="24"/>
        </w:rPr>
        <w:t>每个拧紧程序中可设置多个拧紧步骤，可设置诸如认帽、快速拧紧、最终拧紧、顺序拧紧、多次拧紧跳转、角度拧紧等等各种拧紧步骤，识别螺栓错误及假扭矩的错误</w:t>
      </w:r>
    </w:p>
    <w:p>
      <w:pPr>
        <w:numPr>
          <w:ilvl w:val="0"/>
          <w:numId w:val="11"/>
        </w:numPr>
        <w:spacing w:line="360" w:lineRule="auto"/>
        <w:ind w:left="0" w:firstLine="480" w:firstLineChars="200"/>
        <w:jc w:val="left"/>
        <w:rPr>
          <w:rFonts w:ascii="宋体" w:hAnsi="宋体"/>
          <w:sz w:val="24"/>
          <w:szCs w:val="24"/>
        </w:rPr>
      </w:pPr>
      <w:r>
        <w:rPr>
          <w:rFonts w:hint="eastAsia" w:ascii="宋体" w:hAnsi="宋体"/>
          <w:sz w:val="24"/>
          <w:szCs w:val="24"/>
        </w:rPr>
        <w:t>控制精度：扭矩精度：±3％ 设备能力：Cpk≥1.33  Cmk≥1.67，工具应能保证各自工位对拧紧力矩大小及拧紧精度的要求</w:t>
      </w:r>
    </w:p>
    <w:p>
      <w:pPr>
        <w:spacing w:line="360" w:lineRule="auto"/>
        <w:ind w:firstLine="480"/>
        <w:outlineLvl w:val="4"/>
        <w:rPr>
          <w:rFonts w:hint="eastAsia" w:ascii="宋体" w:hAnsi="宋体"/>
          <w:b/>
          <w:color w:val="auto"/>
          <w:sz w:val="24"/>
          <w:szCs w:val="24"/>
          <w:highlight w:val="none"/>
          <w:lang w:val="en-US" w:eastAsia="zh-CN"/>
        </w:rPr>
      </w:pPr>
      <w:r>
        <w:rPr>
          <w:rFonts w:hint="eastAsia" w:ascii="宋体" w:hAnsi="宋体"/>
          <w:sz w:val="24"/>
          <w:szCs w:val="24"/>
          <w:highlight w:val="none"/>
        </w:rPr>
        <w:t>4.6 悬臂吊拧紧机技术要求</w:t>
      </w:r>
    </w:p>
    <w:p>
      <w:pPr>
        <w:pStyle w:val="3"/>
        <w:keepNext/>
        <w:keepLines/>
        <w:spacing w:line="360" w:lineRule="auto"/>
        <w:ind w:left="0"/>
        <w:jc w:val="both"/>
        <w:rPr>
          <w:rFonts w:hint="eastAsia" w:ascii="宋体" w:hAnsi="宋体" w:eastAsia="宋体" w:cs="Times New Roman"/>
          <w:color w:val="auto"/>
          <w:highlight w:val="none"/>
          <w:lang w:val="en-US" w:eastAsia="zh-CN"/>
        </w:rPr>
      </w:pPr>
      <w:bookmarkStart w:id="52" w:name="_Toc10762"/>
      <w:r>
        <w:rPr>
          <w:rFonts w:hint="eastAsia" w:ascii="宋体" w:hAnsi="宋体" w:eastAsia="宋体" w:cs="Times New Roman"/>
          <w:color w:val="auto"/>
          <w:highlight w:val="none"/>
          <w:lang w:val="en-US" w:eastAsia="zh-CN"/>
        </w:rPr>
        <w:t>六、备品、备件</w:t>
      </w:r>
      <w:bookmarkEnd w:id="52"/>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105" w:leftChars="50" w:firstLine="480" w:firstLineChars="200"/>
        <w:jc w:val="both"/>
        <w:textAlignment w:val="auto"/>
        <w:rPr>
          <w:rFonts w:hint="eastAsia" w:ascii="宋体" w:hAnsi="宋体"/>
          <w:b w:val="0"/>
          <w:bCs w:val="0"/>
          <w:color w:val="auto"/>
          <w:sz w:val="24"/>
          <w:szCs w:val="24"/>
          <w:highlight w:val="none"/>
          <w:lang w:val="en-US" w:eastAsia="zh-CN"/>
        </w:rPr>
      </w:pPr>
      <w:r>
        <w:rPr>
          <w:rFonts w:hint="eastAsia" w:ascii="宋体" w:hAnsi="宋体"/>
          <w:b w:val="0"/>
          <w:bCs w:val="0"/>
          <w:color w:val="auto"/>
          <w:sz w:val="24"/>
          <w:szCs w:val="24"/>
          <w:highlight w:val="none"/>
          <w:lang w:val="en-US" w:eastAsia="zh-CN"/>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pPr>
        <w:pStyle w:val="3"/>
        <w:keepNext/>
        <w:keepLines/>
        <w:spacing w:line="360" w:lineRule="auto"/>
        <w:ind w:left="0"/>
        <w:jc w:val="both"/>
        <w:rPr>
          <w:rFonts w:hint="eastAsia" w:ascii="宋体" w:hAnsi="宋体"/>
          <w:color w:val="auto"/>
          <w:highlight w:val="none"/>
          <w:lang w:val="en-US" w:eastAsia="zh-CN"/>
        </w:rPr>
      </w:pPr>
      <w:bookmarkStart w:id="53" w:name="_Toc11449"/>
      <w:bookmarkStart w:id="54" w:name="_Toc27758126"/>
      <w:bookmarkStart w:id="55" w:name="_Toc26357134"/>
      <w:r>
        <w:rPr>
          <w:rFonts w:hint="eastAsia" w:ascii="宋体" w:hAnsi="宋体"/>
          <w:color w:val="auto"/>
          <w:highlight w:val="none"/>
          <w:lang w:val="en-US" w:eastAsia="zh-CN"/>
        </w:rPr>
        <w:t>七、验收</w:t>
      </w:r>
      <w:bookmarkEnd w:id="53"/>
      <w:bookmarkEnd w:id="54"/>
      <w:bookmarkEnd w:id="55"/>
    </w:p>
    <w:p>
      <w:pPr>
        <w:snapToGrid w:val="0"/>
        <w:spacing w:line="360" w:lineRule="auto"/>
        <w:rPr>
          <w:rFonts w:hAnsi="宋体"/>
          <w:b/>
          <w:color w:val="auto"/>
          <w:sz w:val="28"/>
          <w:szCs w:val="28"/>
          <w:highlight w:val="none"/>
        </w:rPr>
      </w:pPr>
      <w:bookmarkStart w:id="56" w:name="_Toc26806122"/>
      <w:bookmarkStart w:id="57" w:name="_Toc27758127"/>
      <w:bookmarkStart w:id="58" w:name="_Toc26357135"/>
      <w:r>
        <w:rPr>
          <w:rFonts w:hint="eastAsia" w:hAnsi="宋体"/>
          <w:b/>
          <w:color w:val="auto"/>
          <w:sz w:val="28"/>
          <w:szCs w:val="28"/>
          <w:highlight w:val="none"/>
        </w:rPr>
        <w:t>1、预验收</w:t>
      </w:r>
      <w:bookmarkEnd w:id="56"/>
      <w:bookmarkEnd w:id="57"/>
      <w:bookmarkEnd w:id="58"/>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1.1设备制造完成</w:t>
      </w:r>
      <w:r>
        <w:rPr>
          <w:rFonts w:ascii="宋体" w:hAnsi="宋体"/>
          <w:color w:val="auto"/>
          <w:sz w:val="24"/>
          <w:highlight w:val="none"/>
        </w:rPr>
        <w:t>后，</w:t>
      </w:r>
      <w:r>
        <w:rPr>
          <w:rFonts w:hint="eastAsia" w:ascii="宋体" w:hAnsi="宋体"/>
          <w:color w:val="auto"/>
          <w:sz w:val="24"/>
          <w:highlight w:val="none"/>
        </w:rPr>
        <w:t>投标方在设备制造地点进行自验收，验收通过后，通知招标方到</w:t>
      </w:r>
      <w:r>
        <w:rPr>
          <w:rFonts w:ascii="宋体" w:hAnsi="宋体"/>
          <w:color w:val="auto"/>
          <w:sz w:val="24"/>
          <w:highlight w:val="none"/>
        </w:rPr>
        <w:t>制造地点进行</w:t>
      </w:r>
      <w:r>
        <w:rPr>
          <w:rFonts w:hint="eastAsia" w:ascii="宋体" w:hAnsi="宋体"/>
          <w:color w:val="auto"/>
          <w:sz w:val="24"/>
          <w:highlight w:val="none"/>
        </w:rPr>
        <w:t>项目</w:t>
      </w:r>
      <w:r>
        <w:rPr>
          <w:rFonts w:ascii="宋体" w:hAnsi="宋体"/>
          <w:color w:val="auto"/>
          <w:sz w:val="24"/>
          <w:highlight w:val="none"/>
        </w:rPr>
        <w:t>预验收。</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1.2招标方负责提供相关产品件用于项目的预验收。</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1.3</w:t>
      </w:r>
      <w:r>
        <w:rPr>
          <w:rFonts w:ascii="宋体" w:hAnsi="宋体"/>
          <w:color w:val="auto"/>
          <w:sz w:val="24"/>
          <w:highlight w:val="none"/>
        </w:rPr>
        <w:t>双方参加</w:t>
      </w:r>
      <w:r>
        <w:rPr>
          <w:rFonts w:hint="eastAsia" w:ascii="宋体" w:hAnsi="宋体"/>
          <w:color w:val="auto"/>
          <w:sz w:val="24"/>
          <w:highlight w:val="none"/>
        </w:rPr>
        <w:t>，</w:t>
      </w:r>
      <w:r>
        <w:rPr>
          <w:rFonts w:ascii="宋体" w:hAnsi="宋体"/>
          <w:color w:val="auto"/>
          <w:sz w:val="24"/>
          <w:highlight w:val="none"/>
        </w:rPr>
        <w:t>检查</w:t>
      </w:r>
      <w:r>
        <w:rPr>
          <w:rFonts w:hint="eastAsia" w:ascii="宋体" w:hAnsi="宋体"/>
          <w:color w:val="auto"/>
          <w:sz w:val="24"/>
          <w:highlight w:val="none"/>
        </w:rPr>
        <w:t>设备各部件</w:t>
      </w:r>
      <w:r>
        <w:rPr>
          <w:rFonts w:ascii="宋体" w:hAnsi="宋体"/>
          <w:color w:val="auto"/>
          <w:sz w:val="24"/>
          <w:highlight w:val="none"/>
        </w:rPr>
        <w:t>操作性</w:t>
      </w:r>
      <w:r>
        <w:rPr>
          <w:rFonts w:hint="eastAsia" w:ascii="宋体" w:hAnsi="宋体"/>
          <w:color w:val="auto"/>
          <w:sz w:val="24"/>
          <w:highlight w:val="none"/>
        </w:rPr>
        <w:t>等</w:t>
      </w:r>
      <w:r>
        <w:rPr>
          <w:rFonts w:ascii="宋体" w:hAnsi="宋体"/>
          <w:color w:val="auto"/>
          <w:sz w:val="24"/>
          <w:highlight w:val="none"/>
        </w:rPr>
        <w:t>。经招标方确认合格后方可包装、发运。</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1.4</w:t>
      </w:r>
      <w:r>
        <w:rPr>
          <w:rFonts w:ascii="宋体" w:hAnsi="宋体"/>
          <w:color w:val="auto"/>
          <w:sz w:val="24"/>
          <w:highlight w:val="none"/>
        </w:rPr>
        <w:t>在</w:t>
      </w:r>
      <w:r>
        <w:rPr>
          <w:rFonts w:hint="eastAsia" w:ascii="宋体" w:hAnsi="宋体"/>
          <w:color w:val="auto"/>
          <w:sz w:val="24"/>
          <w:highlight w:val="none"/>
        </w:rPr>
        <w:t>设备</w:t>
      </w:r>
      <w:r>
        <w:rPr>
          <w:rFonts w:ascii="宋体" w:hAnsi="宋体"/>
          <w:color w:val="auto"/>
          <w:sz w:val="24"/>
          <w:highlight w:val="none"/>
        </w:rPr>
        <w:t>的预验收过程中，由于投标方设计或制造等原因而出现的质量问题，招标方有权提出请投标方返修，然后再次检查直至合格。</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1.5</w:t>
      </w:r>
      <w:r>
        <w:rPr>
          <w:rFonts w:ascii="宋体" w:hAnsi="宋体"/>
          <w:color w:val="auto"/>
          <w:sz w:val="24"/>
          <w:highlight w:val="none"/>
        </w:rPr>
        <w:t>预验收合格后，发运前双方需签署预验收记录，但预验收合格的记录不能替代最终验收报告。</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1.6</w:t>
      </w:r>
      <w:r>
        <w:rPr>
          <w:rFonts w:ascii="宋体" w:hAnsi="宋体"/>
          <w:color w:val="auto"/>
          <w:sz w:val="24"/>
          <w:highlight w:val="none"/>
        </w:rPr>
        <w:t>预验收合格后的所有试件应经</w:t>
      </w:r>
      <w:r>
        <w:rPr>
          <w:rFonts w:hint="eastAsia" w:ascii="宋体" w:hAnsi="宋体"/>
          <w:color w:val="auto"/>
          <w:sz w:val="24"/>
          <w:highlight w:val="none"/>
          <w:lang w:val="en-US" w:eastAsia="zh-CN"/>
        </w:rPr>
        <w:t>防护</w:t>
      </w:r>
      <w:r>
        <w:rPr>
          <w:rFonts w:ascii="宋体" w:hAnsi="宋体"/>
          <w:color w:val="auto"/>
          <w:sz w:val="24"/>
          <w:highlight w:val="none"/>
        </w:rPr>
        <w:t>处理后</w:t>
      </w:r>
      <w:r>
        <w:rPr>
          <w:rFonts w:hint="eastAsia" w:ascii="宋体" w:hAnsi="宋体"/>
          <w:color w:val="auto"/>
          <w:sz w:val="24"/>
          <w:highlight w:val="none"/>
        </w:rPr>
        <w:t>设备</w:t>
      </w:r>
      <w:r>
        <w:rPr>
          <w:rFonts w:ascii="宋体" w:hAnsi="宋体"/>
          <w:color w:val="auto"/>
          <w:sz w:val="24"/>
          <w:highlight w:val="none"/>
        </w:rPr>
        <w:t>一起发交至招标方。</w:t>
      </w:r>
    </w:p>
    <w:p>
      <w:pPr>
        <w:snapToGrid w:val="0"/>
        <w:spacing w:line="360" w:lineRule="auto"/>
        <w:rPr>
          <w:rFonts w:hAnsi="宋体"/>
          <w:b/>
          <w:color w:val="auto"/>
          <w:sz w:val="28"/>
          <w:szCs w:val="28"/>
          <w:highlight w:val="none"/>
        </w:rPr>
      </w:pPr>
      <w:bookmarkStart w:id="59" w:name="_Toc26357136"/>
      <w:bookmarkStart w:id="60" w:name="_Toc26806123"/>
      <w:bookmarkStart w:id="61" w:name="_Toc27758128"/>
      <w:r>
        <w:rPr>
          <w:rFonts w:hint="eastAsia" w:hAnsi="宋体"/>
          <w:b/>
          <w:color w:val="auto"/>
          <w:sz w:val="28"/>
          <w:szCs w:val="28"/>
          <w:highlight w:val="none"/>
        </w:rPr>
        <w:t>2、终验收</w:t>
      </w:r>
      <w:bookmarkEnd w:id="59"/>
      <w:bookmarkEnd w:id="60"/>
      <w:bookmarkEnd w:id="61"/>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2.1</w:t>
      </w:r>
      <w:r>
        <w:rPr>
          <w:rFonts w:ascii="宋体" w:hAnsi="宋体"/>
          <w:color w:val="auto"/>
          <w:sz w:val="24"/>
          <w:highlight w:val="none"/>
        </w:rPr>
        <w:t>投标方派专家到招标方</w:t>
      </w:r>
      <w:r>
        <w:rPr>
          <w:rFonts w:hint="eastAsia" w:ascii="宋体" w:hAnsi="宋体"/>
          <w:color w:val="auto"/>
          <w:sz w:val="24"/>
          <w:highlight w:val="none"/>
        </w:rPr>
        <w:t>现场</w:t>
      </w:r>
      <w:r>
        <w:rPr>
          <w:rFonts w:ascii="宋体" w:hAnsi="宋体"/>
          <w:color w:val="auto"/>
          <w:sz w:val="24"/>
          <w:highlight w:val="none"/>
        </w:rPr>
        <w:t>对</w:t>
      </w:r>
      <w:r>
        <w:rPr>
          <w:rFonts w:hint="eastAsia" w:ascii="宋体" w:hAnsi="宋体"/>
          <w:color w:val="auto"/>
          <w:sz w:val="24"/>
          <w:highlight w:val="none"/>
        </w:rPr>
        <w:t>设备</w:t>
      </w:r>
      <w:r>
        <w:rPr>
          <w:rFonts w:ascii="宋体" w:hAnsi="宋体"/>
          <w:color w:val="auto"/>
          <w:sz w:val="24"/>
          <w:highlight w:val="none"/>
        </w:rPr>
        <w:t>进行安装调试和技术指导。</w:t>
      </w:r>
      <w:r>
        <w:rPr>
          <w:rFonts w:hint="eastAsia" w:ascii="宋体" w:hAnsi="宋体"/>
          <w:color w:val="auto"/>
          <w:sz w:val="24"/>
          <w:highlight w:val="none"/>
        </w:rPr>
        <w:t>所有设备由投标方负责</w:t>
      </w:r>
      <w:r>
        <w:rPr>
          <w:rFonts w:ascii="宋体" w:hAnsi="宋体"/>
          <w:color w:val="auto"/>
          <w:sz w:val="24"/>
          <w:highlight w:val="none"/>
        </w:rPr>
        <w:t>安装、调试完成后，双方在生产地点进行最终验收。</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2.2</w:t>
      </w:r>
      <w:r>
        <w:rPr>
          <w:rFonts w:ascii="宋体" w:hAnsi="宋体"/>
          <w:color w:val="auto"/>
          <w:sz w:val="24"/>
          <w:highlight w:val="none"/>
        </w:rPr>
        <w:t>最终验收期间若发现合同供货内容有质量问题或发现破损、缺陷和缺少零件，投标方应根据招标方要求免费更换零部件并解决问题，并且记录在终验收的报告中。</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szCs w:val="24"/>
          <w:highlight w:val="none"/>
        </w:rPr>
      </w:pPr>
      <w:r>
        <w:rPr>
          <w:rFonts w:hint="eastAsia" w:ascii="宋体" w:hAnsi="宋体"/>
          <w:color w:val="auto"/>
          <w:sz w:val="24"/>
          <w:szCs w:val="24"/>
          <w:highlight w:val="none"/>
        </w:rPr>
        <w:t>2.3</w:t>
      </w:r>
      <w:r>
        <w:rPr>
          <w:rFonts w:ascii="宋体" w:hAnsi="宋体"/>
          <w:color w:val="auto"/>
          <w:sz w:val="24"/>
          <w:szCs w:val="24"/>
          <w:highlight w:val="none"/>
        </w:rPr>
        <w:t>按合同要求验收，若投标方提供的标的内容、技术资料与合同中规定的内容有不符或缺少时，招标方有权要求更换及补偿。</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szCs w:val="24"/>
          <w:highlight w:val="none"/>
        </w:rPr>
      </w:pPr>
      <w:r>
        <w:rPr>
          <w:rFonts w:hint="eastAsia" w:ascii="宋体" w:hAnsi="宋体"/>
          <w:color w:val="auto"/>
          <w:sz w:val="24"/>
          <w:szCs w:val="24"/>
          <w:highlight w:val="none"/>
        </w:rPr>
        <w:t>2.4</w:t>
      </w:r>
      <w:r>
        <w:rPr>
          <w:rFonts w:ascii="宋体" w:hAnsi="宋体"/>
          <w:color w:val="auto"/>
          <w:sz w:val="24"/>
          <w:szCs w:val="24"/>
          <w:highlight w:val="none"/>
        </w:rPr>
        <w:t>检验</w:t>
      </w:r>
      <w:r>
        <w:rPr>
          <w:rFonts w:hint="eastAsia" w:ascii="宋体" w:hAnsi="宋体"/>
          <w:color w:val="auto"/>
          <w:sz w:val="24"/>
          <w:szCs w:val="24"/>
          <w:highlight w:val="none"/>
        </w:rPr>
        <w:t>设备</w:t>
      </w:r>
      <w:r>
        <w:rPr>
          <w:rFonts w:ascii="宋体" w:hAnsi="宋体"/>
          <w:color w:val="auto"/>
          <w:sz w:val="24"/>
          <w:szCs w:val="24"/>
          <w:highlight w:val="none"/>
        </w:rPr>
        <w:t>的精度</w:t>
      </w:r>
      <w:r>
        <w:rPr>
          <w:rFonts w:hint="eastAsia" w:ascii="宋体" w:hAnsi="宋体"/>
          <w:color w:val="auto"/>
          <w:sz w:val="24"/>
          <w:szCs w:val="24"/>
          <w:highlight w:val="none"/>
        </w:rPr>
        <w:t>、设备运行的稳定程度</w:t>
      </w:r>
      <w:r>
        <w:rPr>
          <w:rFonts w:ascii="宋体" w:hAnsi="宋体"/>
          <w:color w:val="auto"/>
          <w:sz w:val="24"/>
          <w:szCs w:val="24"/>
          <w:highlight w:val="none"/>
        </w:rPr>
        <w:t>，如发现与合同要求不符，投标方应负责解决。</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szCs w:val="24"/>
          <w:highlight w:val="none"/>
        </w:rPr>
      </w:pPr>
      <w:r>
        <w:rPr>
          <w:rFonts w:hint="eastAsia" w:ascii="宋体" w:hAnsi="宋体"/>
          <w:color w:val="auto"/>
          <w:sz w:val="24"/>
          <w:szCs w:val="24"/>
          <w:highlight w:val="none"/>
        </w:rPr>
        <w:t>2.5</w:t>
      </w:r>
      <w:r>
        <w:rPr>
          <w:rFonts w:ascii="宋体" w:hAnsi="宋体"/>
          <w:color w:val="auto"/>
          <w:sz w:val="24"/>
          <w:szCs w:val="24"/>
          <w:highlight w:val="none"/>
        </w:rPr>
        <w:t>终验收合格后，双方签署终验收合格报告。</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2.6</w:t>
      </w:r>
      <w:r>
        <w:rPr>
          <w:rFonts w:ascii="宋体" w:hAnsi="宋体"/>
          <w:color w:val="auto"/>
          <w:sz w:val="24"/>
          <w:highlight w:val="none"/>
        </w:rPr>
        <w:t>投标方</w:t>
      </w:r>
      <w:r>
        <w:rPr>
          <w:rFonts w:hint="eastAsia" w:ascii="宋体" w:hAnsi="宋体"/>
          <w:color w:val="auto"/>
          <w:sz w:val="24"/>
          <w:highlight w:val="none"/>
        </w:rPr>
        <w:t>一旦中标，</w:t>
      </w:r>
      <w:r>
        <w:rPr>
          <w:rFonts w:ascii="宋体" w:hAnsi="宋体"/>
          <w:color w:val="auto"/>
          <w:sz w:val="24"/>
          <w:highlight w:val="none"/>
        </w:rPr>
        <w:t>需向招标方提供的技术文件资料</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所有技术文件资料均为纸质文件2套和电子版文件</w:t>
      </w:r>
      <w:r>
        <w:rPr>
          <w:rFonts w:hint="eastAsia" w:ascii="宋体" w:hAnsi="宋体"/>
          <w:color w:val="auto"/>
          <w:sz w:val="24"/>
          <w:highlight w:val="none"/>
        </w:rPr>
        <w:t>（含3D和2D）</w:t>
      </w:r>
      <w:r>
        <w:rPr>
          <w:rFonts w:ascii="宋体" w:hAnsi="宋体"/>
          <w:color w:val="auto"/>
          <w:sz w:val="24"/>
          <w:highlight w:val="none"/>
        </w:rPr>
        <w:t>1套，其中所有电子版文件必须使用国际通用软件以确保能在招标方的计算机中打开并进行编辑和修改。</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b/>
          <w:color w:val="auto"/>
          <w:sz w:val="24"/>
          <w:highlight w:val="none"/>
        </w:rPr>
      </w:pPr>
      <w:r>
        <w:rPr>
          <w:rFonts w:hint="eastAsia" w:ascii="宋体" w:hAnsi="宋体"/>
          <w:color w:val="auto"/>
          <w:sz w:val="24"/>
          <w:highlight w:val="none"/>
        </w:rPr>
        <w:t>2.6.1</w:t>
      </w:r>
      <w:r>
        <w:rPr>
          <w:rFonts w:ascii="宋体" w:hAnsi="宋体"/>
          <w:color w:val="auto"/>
          <w:sz w:val="24"/>
          <w:highlight w:val="none"/>
        </w:rPr>
        <w:t>工艺部分</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A.工艺方案及相应的作业指导书</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B.质量检验方案及相应的作业指导书</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C.</w:t>
      </w:r>
      <w:r>
        <w:rPr>
          <w:rFonts w:ascii="宋体" w:hAnsi="宋体"/>
          <w:color w:val="auto"/>
          <w:sz w:val="24"/>
          <w:highlight w:val="none"/>
        </w:rPr>
        <w:t>各</w:t>
      </w:r>
      <w:r>
        <w:rPr>
          <w:rFonts w:hint="eastAsia" w:ascii="宋体" w:hAnsi="宋体"/>
          <w:color w:val="auto"/>
          <w:sz w:val="24"/>
          <w:highlight w:val="none"/>
        </w:rPr>
        <w:t>设备附件</w:t>
      </w:r>
      <w:r>
        <w:rPr>
          <w:rFonts w:ascii="宋体" w:hAnsi="宋体"/>
          <w:color w:val="auto"/>
          <w:sz w:val="24"/>
          <w:highlight w:val="none"/>
        </w:rPr>
        <w:t>的数量、规格明细及可供制造或采购的图纸、标准</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D.标的物的操作、使用和维修手册，以及液压、电气、润滑（气动）原理图；</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E.</w:t>
      </w:r>
      <w:r>
        <w:rPr>
          <w:rFonts w:ascii="宋体" w:hAnsi="宋体"/>
          <w:color w:val="auto"/>
          <w:sz w:val="24"/>
          <w:highlight w:val="none"/>
        </w:rPr>
        <w:t>提供设施消耗水、电、气的详细资料。保证设施正常运行、维护和保养所必需的其它参数和资料</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F.水、电、气的位置图及接点、接口指示图。</w:t>
      </w:r>
    </w:p>
    <w:p>
      <w:pPr>
        <w:pStyle w:val="13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ascii="宋体" w:hAnsi="宋体"/>
          <w:color w:val="auto"/>
          <w:sz w:val="24"/>
          <w:highlight w:val="none"/>
        </w:rPr>
      </w:pPr>
      <w:r>
        <w:rPr>
          <w:rFonts w:hint="eastAsia" w:ascii="宋体" w:hAnsi="宋体"/>
          <w:color w:val="auto"/>
          <w:sz w:val="24"/>
          <w:highlight w:val="none"/>
        </w:rPr>
        <w:t>2.6.2工装部分</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A.工装图纸（包括总成图、分总成图、部件图、零件图、夹具基础图以及适用的标准等技术文件）</w:t>
      </w:r>
      <w:r>
        <w:rPr>
          <w:rFonts w:hint="eastAsia" w:ascii="宋体" w:hAnsi="宋体"/>
          <w:color w:val="auto"/>
          <w:sz w:val="24"/>
          <w:highlight w:val="none"/>
        </w:rPr>
        <w:t>，投标方专利部分图纸，可提供简图；</w:t>
      </w:r>
      <w:r>
        <w:rPr>
          <w:rFonts w:ascii="宋体" w:hAnsi="宋体"/>
          <w:color w:val="auto"/>
          <w:sz w:val="24"/>
          <w:highlight w:val="none"/>
        </w:rPr>
        <w:t>工装图中的各定位孔应有三坐标数据表</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B.</w:t>
      </w:r>
      <w:r>
        <w:rPr>
          <w:rFonts w:hint="eastAsia" w:ascii="宋体" w:hAnsi="宋体"/>
          <w:color w:val="auto"/>
          <w:sz w:val="24"/>
          <w:highlight w:val="none"/>
        </w:rPr>
        <w:t>设备附件等</w:t>
      </w:r>
      <w:r>
        <w:rPr>
          <w:rFonts w:ascii="宋体" w:hAnsi="宋体"/>
          <w:color w:val="auto"/>
          <w:sz w:val="24"/>
          <w:highlight w:val="none"/>
        </w:rPr>
        <w:t>明细表、外购件明细表及相应的供应商联系地址和使用、维修说明书</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C.电器、压缩空气、循环水、润滑系统原理图，润滑点及相应的维护使用说明书（图）</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D.工装使用说明书</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E.</w:t>
      </w:r>
      <w:r>
        <w:rPr>
          <w:rFonts w:hint="eastAsia" w:ascii="宋体" w:hAnsi="宋体"/>
          <w:color w:val="auto"/>
          <w:sz w:val="24"/>
          <w:highlight w:val="none"/>
        </w:rPr>
        <w:t>设备附件</w:t>
      </w:r>
      <w:r>
        <w:rPr>
          <w:rFonts w:ascii="宋体" w:hAnsi="宋体"/>
          <w:color w:val="auto"/>
          <w:sz w:val="24"/>
          <w:highlight w:val="none"/>
        </w:rPr>
        <w:t>检测数据记录</w:t>
      </w:r>
      <w:r>
        <w:rPr>
          <w:rFonts w:hint="eastAsia" w:ascii="宋体" w:hAnsi="宋体"/>
          <w:color w:val="auto"/>
          <w:sz w:val="24"/>
          <w:highlight w:val="none"/>
        </w:rPr>
        <w:t>，终验收前需再次进行全线工装检测，并提供相关记录；</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F.</w:t>
      </w:r>
      <w:r>
        <w:rPr>
          <w:rFonts w:hint="eastAsia" w:ascii="宋体" w:hAnsi="宋体"/>
          <w:color w:val="auto"/>
          <w:sz w:val="24"/>
          <w:highlight w:val="none"/>
        </w:rPr>
        <w:t>设备</w:t>
      </w:r>
      <w:r>
        <w:rPr>
          <w:rFonts w:ascii="宋体" w:hAnsi="宋体"/>
          <w:color w:val="auto"/>
          <w:sz w:val="24"/>
          <w:highlight w:val="none"/>
        </w:rPr>
        <w:t>所</w:t>
      </w:r>
      <w:r>
        <w:rPr>
          <w:rFonts w:hint="eastAsia" w:ascii="宋体" w:hAnsi="宋体"/>
          <w:color w:val="auto"/>
          <w:sz w:val="24"/>
          <w:highlight w:val="none"/>
        </w:rPr>
        <w:t>生产产</w:t>
      </w:r>
      <w:r>
        <w:rPr>
          <w:rFonts w:ascii="宋体" w:hAnsi="宋体"/>
          <w:color w:val="auto"/>
          <w:sz w:val="24"/>
          <w:highlight w:val="none"/>
        </w:rPr>
        <w:t>品的检测记录（包括检测数据记录并进行说明）。</w:t>
      </w:r>
    </w:p>
    <w:p>
      <w:pPr>
        <w:pStyle w:val="3"/>
        <w:keepNext/>
        <w:keepLines/>
        <w:spacing w:line="360" w:lineRule="auto"/>
        <w:ind w:left="0"/>
        <w:jc w:val="both"/>
        <w:rPr>
          <w:rFonts w:hint="eastAsia" w:ascii="宋体" w:hAnsi="宋体"/>
          <w:color w:val="auto"/>
          <w:highlight w:val="none"/>
          <w:lang w:val="en-US" w:eastAsia="zh-CN"/>
        </w:rPr>
      </w:pPr>
      <w:bookmarkStart w:id="62" w:name="_Toc25336"/>
      <w:bookmarkStart w:id="63" w:name="_Toc27758129"/>
      <w:bookmarkStart w:id="64" w:name="_Toc26357137"/>
      <w:r>
        <w:rPr>
          <w:rFonts w:hint="eastAsia" w:ascii="宋体" w:hAnsi="宋体"/>
          <w:color w:val="auto"/>
          <w:highlight w:val="none"/>
          <w:lang w:val="en-US" w:eastAsia="zh-CN"/>
        </w:rPr>
        <w:t>八、服务</w:t>
      </w:r>
      <w:bookmarkEnd w:id="62"/>
      <w:bookmarkEnd w:id="63"/>
      <w:bookmarkEnd w:id="64"/>
    </w:p>
    <w:p>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1.</w:t>
      </w:r>
      <w:r>
        <w:rPr>
          <w:rFonts w:ascii="宋体" w:hAnsi="宋体"/>
          <w:color w:val="auto"/>
          <w:sz w:val="24"/>
          <w:highlight w:val="none"/>
        </w:rPr>
        <w:t>技术培训</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lang w:val="en-US" w:eastAsia="zh-CN"/>
        </w:rPr>
        <w:t>1.1</w:t>
      </w:r>
      <w:r>
        <w:rPr>
          <w:rFonts w:ascii="宋体" w:hAnsi="宋体"/>
          <w:color w:val="auto"/>
          <w:sz w:val="24"/>
          <w:highlight w:val="none"/>
        </w:rPr>
        <w:t>在预验收和终验收期间，投标方应派有经验的专家对招标方相关人员进行理论和实际操作的培训，并提供成套培训资料</w:t>
      </w:r>
      <w:r>
        <w:rPr>
          <w:rFonts w:hint="eastAsia" w:ascii="宋体" w:hAnsi="宋体"/>
          <w:color w:val="auto"/>
          <w:sz w:val="24"/>
          <w:highlight w:val="none"/>
        </w:rPr>
        <w:t>，</w:t>
      </w:r>
      <w:r>
        <w:rPr>
          <w:rFonts w:ascii="宋体" w:hAnsi="宋体"/>
          <w:color w:val="auto"/>
          <w:sz w:val="24"/>
          <w:highlight w:val="none"/>
        </w:rPr>
        <w:t>所有培训应是免费的。</w:t>
      </w:r>
    </w:p>
    <w:p>
      <w:pPr>
        <w:pStyle w:val="133"/>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1.2</w:t>
      </w:r>
      <w:r>
        <w:rPr>
          <w:rFonts w:ascii="宋体" w:hAnsi="宋体"/>
          <w:color w:val="auto"/>
          <w:sz w:val="24"/>
          <w:highlight w:val="none"/>
        </w:rPr>
        <w:t>培训结束后，投标方应保证招标方相关人员能正确、熟练地掌握标的物的操作和维护，并在</w:t>
      </w:r>
      <w:r>
        <w:rPr>
          <w:rFonts w:hint="eastAsia" w:ascii="宋体" w:hAnsi="宋体"/>
          <w:color w:val="auto"/>
          <w:sz w:val="24"/>
          <w:highlight w:val="none"/>
        </w:rPr>
        <w:t>各条线体</w:t>
      </w:r>
      <w:r>
        <w:rPr>
          <w:rFonts w:ascii="宋体" w:hAnsi="宋体"/>
          <w:color w:val="auto"/>
          <w:sz w:val="24"/>
          <w:highlight w:val="none"/>
        </w:rPr>
        <w:t>正常运行时，能排除一般性故障。</w:t>
      </w:r>
    </w:p>
    <w:p>
      <w:pPr>
        <w:pStyle w:val="133"/>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1.3</w:t>
      </w:r>
      <w:r>
        <w:rPr>
          <w:rFonts w:ascii="宋体" w:hAnsi="宋体"/>
          <w:color w:val="auto"/>
          <w:sz w:val="24"/>
          <w:highlight w:val="none"/>
        </w:rPr>
        <w:t>培训期间的交流语言为中文，当采用其他语言时投标方应提供翻译。</w:t>
      </w:r>
    </w:p>
    <w:p>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w:t>
      </w:r>
      <w:r>
        <w:rPr>
          <w:rFonts w:ascii="宋体" w:hAnsi="宋体"/>
          <w:color w:val="auto"/>
          <w:sz w:val="24"/>
          <w:highlight w:val="none"/>
        </w:rPr>
        <w:t>质量保证期及售后服务</w:t>
      </w:r>
    </w:p>
    <w:p>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2.1</w:t>
      </w:r>
      <w:r>
        <w:rPr>
          <w:rFonts w:ascii="宋体" w:hAnsi="宋体"/>
          <w:color w:val="auto"/>
          <w:sz w:val="24"/>
          <w:highlight w:val="none"/>
        </w:rPr>
        <w:t>质量保证期为标的最终验收合格后1</w:t>
      </w:r>
      <w:r>
        <w:rPr>
          <w:rFonts w:hint="eastAsia" w:ascii="宋体" w:hAnsi="宋体"/>
          <w:color w:val="auto"/>
          <w:sz w:val="24"/>
          <w:highlight w:val="none"/>
        </w:rPr>
        <w:t>2</w:t>
      </w:r>
      <w:r>
        <w:rPr>
          <w:rFonts w:ascii="宋体" w:hAnsi="宋体"/>
          <w:color w:val="auto"/>
          <w:sz w:val="24"/>
          <w:highlight w:val="none"/>
        </w:rPr>
        <w:t>个月。</w:t>
      </w:r>
    </w:p>
    <w:p>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2.2</w:t>
      </w:r>
      <w:r>
        <w:rPr>
          <w:rFonts w:hint="eastAsia" w:ascii="宋体" w:hAnsi="宋体"/>
          <w:color w:val="auto"/>
          <w:sz w:val="24"/>
          <w:highlight w:val="none"/>
        </w:rPr>
        <w:t>在设备终验收后</w:t>
      </w:r>
      <w:r>
        <w:rPr>
          <w:rFonts w:ascii="宋体" w:hAnsi="宋体"/>
          <w:color w:val="auto"/>
          <w:sz w:val="24"/>
          <w:highlight w:val="none"/>
        </w:rPr>
        <w:t>，投标方应派专业人员</w:t>
      </w:r>
      <w:r>
        <w:rPr>
          <w:rFonts w:hint="eastAsia" w:ascii="宋体" w:hAnsi="宋体"/>
          <w:color w:val="auto"/>
          <w:sz w:val="24"/>
          <w:highlight w:val="none"/>
        </w:rPr>
        <w:t>到招标方现场</w:t>
      </w:r>
      <w:r>
        <w:rPr>
          <w:rFonts w:ascii="宋体" w:hAnsi="宋体"/>
          <w:color w:val="auto"/>
          <w:sz w:val="24"/>
          <w:highlight w:val="none"/>
        </w:rPr>
        <w:t>陪产</w:t>
      </w:r>
      <w:r>
        <w:rPr>
          <w:rFonts w:hint="eastAsia" w:ascii="宋体" w:hAnsi="宋体"/>
          <w:color w:val="auto"/>
          <w:sz w:val="24"/>
          <w:highlight w:val="none"/>
        </w:rPr>
        <w:t>12</w:t>
      </w:r>
      <w:r>
        <w:rPr>
          <w:rFonts w:ascii="宋体" w:hAnsi="宋体"/>
          <w:color w:val="auto"/>
          <w:sz w:val="24"/>
          <w:highlight w:val="none"/>
        </w:rPr>
        <w:t>个月，</w:t>
      </w:r>
      <w:r>
        <w:rPr>
          <w:rFonts w:hint="eastAsia" w:ascii="宋体" w:hAnsi="宋体"/>
          <w:color w:val="auto"/>
          <w:sz w:val="24"/>
          <w:highlight w:val="none"/>
        </w:rPr>
        <w:t>提供技术服务，</w:t>
      </w:r>
      <w:r>
        <w:rPr>
          <w:rFonts w:ascii="宋体" w:hAnsi="宋体"/>
          <w:color w:val="auto"/>
          <w:sz w:val="24"/>
          <w:highlight w:val="none"/>
        </w:rPr>
        <w:t>以确保</w:t>
      </w:r>
      <w:r>
        <w:rPr>
          <w:rFonts w:hint="eastAsia" w:ascii="宋体" w:hAnsi="宋体"/>
          <w:color w:val="auto"/>
          <w:sz w:val="24"/>
          <w:highlight w:val="none"/>
        </w:rPr>
        <w:t>各设备稳定运行以及</w:t>
      </w:r>
      <w:r>
        <w:rPr>
          <w:rFonts w:ascii="宋体" w:hAnsi="宋体"/>
          <w:color w:val="auto"/>
          <w:sz w:val="24"/>
          <w:highlight w:val="none"/>
        </w:rPr>
        <w:t>生产节拍、产品质量和精度</w:t>
      </w:r>
      <w:r>
        <w:rPr>
          <w:rFonts w:hint="eastAsia" w:ascii="宋体" w:hAnsi="宋体"/>
          <w:color w:val="auto"/>
          <w:sz w:val="24"/>
          <w:highlight w:val="none"/>
        </w:rPr>
        <w:t>，如生产线在陪产期间有重大故障发生，陪产看护期顺延，以故障排除之日起重新计算12个月陪产期。</w:t>
      </w:r>
    </w:p>
    <w:p>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2.3</w:t>
      </w:r>
      <w:r>
        <w:rPr>
          <w:rFonts w:hint="eastAsia" w:ascii="宋体" w:hAnsi="宋体"/>
          <w:color w:val="auto"/>
          <w:sz w:val="24"/>
          <w:highlight w:val="none"/>
        </w:rPr>
        <w:t>质保期内维修使用的备品备件由投标方提供。</w:t>
      </w:r>
    </w:p>
    <w:p>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2.4</w:t>
      </w:r>
      <w:r>
        <w:rPr>
          <w:rFonts w:hint="eastAsia" w:ascii="宋体" w:hAnsi="宋体"/>
          <w:color w:val="auto"/>
          <w:sz w:val="24"/>
          <w:highlight w:val="none"/>
        </w:rPr>
        <w:t>质保期过后，投标方提供备品备件的明细、品牌和参数，招标方根据实际需求采购。</w:t>
      </w:r>
    </w:p>
    <w:p>
      <w:pPr>
        <w:pStyle w:val="3"/>
        <w:keepNext/>
        <w:keepLines/>
        <w:spacing w:line="360" w:lineRule="auto"/>
        <w:ind w:left="0"/>
        <w:jc w:val="both"/>
        <w:rPr>
          <w:rFonts w:hint="eastAsia" w:ascii="宋体" w:hAnsi="宋体"/>
          <w:color w:val="auto"/>
          <w:highlight w:val="none"/>
          <w:lang w:val="en-US" w:eastAsia="zh-CN"/>
        </w:rPr>
      </w:pPr>
      <w:bookmarkStart w:id="65" w:name="_Toc27758130"/>
      <w:bookmarkStart w:id="66" w:name="_Toc17670"/>
      <w:bookmarkStart w:id="67" w:name="_Toc26357138"/>
      <w:r>
        <w:rPr>
          <w:rFonts w:hint="eastAsia" w:ascii="宋体" w:hAnsi="宋体"/>
          <w:color w:val="auto"/>
          <w:highlight w:val="none"/>
          <w:lang w:val="en-US" w:eastAsia="zh-CN"/>
        </w:rPr>
        <w:t>九、交货期</w:t>
      </w:r>
      <w:bookmarkEnd w:id="65"/>
      <w:bookmarkEnd w:id="66"/>
      <w:bookmarkEnd w:id="67"/>
    </w:p>
    <w:p>
      <w:pPr>
        <w:pStyle w:val="3"/>
        <w:tabs>
          <w:tab w:val="right" w:leader="dot" w:pos="9061"/>
        </w:tabs>
        <w:ind w:left="0" w:firstLine="480" w:firstLineChars="200"/>
        <w:jc w:val="both"/>
        <w:rPr>
          <w:rFonts w:hint="eastAsia" w:ascii="宋体" w:hAnsi="宋体" w:eastAsia="宋体" w:cs="宋体"/>
          <w:b w:val="0"/>
          <w:bCs w:val="0"/>
          <w:color w:val="000000"/>
          <w:kern w:val="2"/>
          <w:sz w:val="24"/>
          <w:szCs w:val="24"/>
          <w:lang w:val="en-US" w:eastAsia="zh-CN" w:bidi="ar-SA"/>
        </w:rPr>
      </w:pPr>
      <w:r>
        <w:rPr>
          <w:rFonts w:hint="eastAsia" w:ascii="宋体" w:hAnsi="宋体"/>
          <w:b w:val="0"/>
          <w:color w:val="auto"/>
          <w:sz w:val="24"/>
          <w:szCs w:val="24"/>
          <w:highlight w:val="none"/>
        </w:rPr>
        <w:t>投标方收到中标通知书后45个日历日内所有设备完成预验收并发运至招标方指定地点。</w:t>
      </w:r>
      <w:bookmarkEnd w:id="34"/>
    </w:p>
    <w:p>
      <w:pPr>
        <w:pStyle w:val="11"/>
        <w:rPr>
          <w:rFonts w:hint="eastAsia"/>
        </w:rPr>
      </w:pPr>
    </w:p>
    <w:p>
      <w:pPr>
        <w:pStyle w:val="17"/>
        <w:spacing w:line="360" w:lineRule="auto"/>
        <w:rPr>
          <w:rFonts w:hint="eastAsia" w:hAnsi="宋体" w:eastAsia="宋体" w:cs="宋体"/>
          <w:sz w:val="24"/>
          <w:szCs w:val="24"/>
        </w:rPr>
        <w:sectPr>
          <w:headerReference r:id="rId10" w:type="default"/>
          <w:footerReference r:id="rId11"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pStyle w:val="17"/>
      </w:pPr>
    </w:p>
    <w:p>
      <w:pPr>
        <w:spacing w:line="360" w:lineRule="auto"/>
        <w:jc w:val="center"/>
        <w:outlineLvl w:val="0"/>
        <w:rPr>
          <w:rFonts w:ascii="宋体" w:hAnsi="Calibri" w:eastAsia="宋体" w:cs="Times New Roman"/>
          <w:b/>
          <w:sz w:val="36"/>
          <w:szCs w:val="36"/>
        </w:rPr>
      </w:pPr>
      <w:bookmarkStart w:id="68"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68"/>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7"/>
        <w:jc w:val="center"/>
      </w:pPr>
      <w:r>
        <w:rPr>
          <w:rFonts w:hint="eastAsia" w:hAnsi="宋体" w:eastAsia="宋体" w:cs="宋体"/>
          <w:b/>
          <w:sz w:val="24"/>
          <w:szCs w:val="24"/>
          <w:highlight w:val="yellow"/>
          <w:lang w:val="en-US" w:eastAsia="zh-CN"/>
        </w:rPr>
        <w:t>（</w:t>
      </w:r>
      <w:r>
        <w:rPr>
          <w:rFonts w:hint="eastAsia" w:ascii="宋体" w:hAnsi="宋体" w:eastAsia="宋体" w:cs="宋体"/>
          <w:b/>
          <w:sz w:val="24"/>
          <w:szCs w:val="24"/>
          <w:highlight w:val="yellow"/>
          <w:lang w:val="en-US" w:eastAsia="zh-CN"/>
        </w:rPr>
        <w:t>合同以双方最终签署的版本为准</w:t>
      </w:r>
      <w:r>
        <w:rPr>
          <w:rFonts w:hint="eastAsia" w:hAnsi="宋体" w:eastAsia="宋体" w:cs="宋体"/>
          <w:b/>
          <w:sz w:val="24"/>
          <w:szCs w:val="24"/>
          <w:highlight w:val="yellow"/>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2"/>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69" w:name="_Toc16330018"/>
      <w:bookmarkStart w:id="70" w:name="_Toc9465"/>
      <w:bookmarkStart w:id="71" w:name="_Toc17619"/>
      <w:bookmarkStart w:id="72" w:name="_Toc11823"/>
      <w:bookmarkStart w:id="73" w:name="_Toc11930"/>
      <w:r>
        <w:rPr>
          <w:rFonts w:hint="eastAsia" w:ascii="黑体" w:hAnsi="黑体" w:eastAsia="黑体" w:cstheme="minorEastAsia"/>
          <w:b w:val="0"/>
          <w:sz w:val="28"/>
          <w:szCs w:val="28"/>
        </w:rPr>
        <w:t>1 合同设备</w:t>
      </w:r>
      <w:bookmarkEnd w:id="69"/>
      <w:bookmarkEnd w:id="70"/>
      <w:bookmarkEnd w:id="71"/>
      <w:bookmarkEnd w:id="72"/>
      <w:bookmarkEnd w:id="7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74" w:name="_Toc22800"/>
      <w:bookmarkStart w:id="75" w:name="_Toc32510"/>
      <w:bookmarkStart w:id="76"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7" w:name="_Toc7716"/>
      <w:bookmarkStart w:id="78" w:name="_Toc16330019"/>
      <w:r>
        <w:rPr>
          <w:rFonts w:hint="eastAsia" w:ascii="黑体" w:hAnsi="黑体" w:eastAsia="黑体" w:cstheme="minorEastAsia"/>
          <w:b w:val="0"/>
          <w:sz w:val="28"/>
          <w:szCs w:val="28"/>
        </w:rPr>
        <w:t>2 包装</w:t>
      </w:r>
      <w:bookmarkEnd w:id="74"/>
      <w:bookmarkEnd w:id="75"/>
      <w:bookmarkEnd w:id="76"/>
      <w:bookmarkEnd w:id="77"/>
      <w:bookmarkEnd w:id="7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9" w:name="_Toc30507"/>
      <w:bookmarkStart w:id="80" w:name="_Toc2833"/>
      <w:bookmarkStart w:id="81" w:name="_Toc27453"/>
      <w:bookmarkStart w:id="82" w:name="_Toc27144"/>
      <w:bookmarkStart w:id="83" w:name="_Toc16330020"/>
      <w:r>
        <w:rPr>
          <w:rFonts w:hint="eastAsia" w:ascii="黑体" w:hAnsi="黑体" w:eastAsia="黑体" w:cstheme="minorEastAsia"/>
          <w:b w:val="0"/>
          <w:sz w:val="28"/>
          <w:szCs w:val="28"/>
        </w:rPr>
        <w:t>3 运输标记</w:t>
      </w:r>
      <w:bookmarkEnd w:id="79"/>
      <w:bookmarkEnd w:id="80"/>
      <w:bookmarkEnd w:id="81"/>
      <w:bookmarkEnd w:id="82"/>
      <w:bookmarkEnd w:id="8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4" w:name="_Toc10630"/>
      <w:bookmarkStart w:id="85" w:name="_Toc16330021"/>
      <w:bookmarkStart w:id="86" w:name="_Toc8624"/>
      <w:bookmarkStart w:id="87" w:name="_Toc16133"/>
      <w:bookmarkStart w:id="88" w:name="_Toc7431"/>
      <w:r>
        <w:rPr>
          <w:rFonts w:hint="eastAsia" w:ascii="黑体" w:hAnsi="黑体" w:eastAsia="黑体" w:cstheme="minorEastAsia"/>
          <w:b w:val="0"/>
          <w:sz w:val="28"/>
          <w:szCs w:val="28"/>
        </w:rPr>
        <w:t>4 检验</w:t>
      </w:r>
      <w:bookmarkEnd w:id="84"/>
      <w:bookmarkEnd w:id="85"/>
      <w:bookmarkEnd w:id="86"/>
      <w:bookmarkEnd w:id="87"/>
      <w:bookmarkEnd w:id="8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9" w:name="_Toc19850"/>
      <w:bookmarkStart w:id="90" w:name="_Toc14275"/>
      <w:bookmarkStart w:id="91" w:name="_Toc11217"/>
      <w:bookmarkStart w:id="92" w:name="_Toc16330022"/>
      <w:bookmarkStart w:id="93" w:name="_Toc24467"/>
      <w:r>
        <w:rPr>
          <w:rFonts w:hint="eastAsia" w:ascii="黑体" w:hAnsi="黑体" w:eastAsia="黑体" w:cstheme="minorEastAsia"/>
          <w:b w:val="0"/>
          <w:sz w:val="28"/>
          <w:szCs w:val="28"/>
        </w:rPr>
        <w:t>5 权利担保</w:t>
      </w:r>
      <w:bookmarkEnd w:id="89"/>
      <w:bookmarkEnd w:id="90"/>
      <w:bookmarkEnd w:id="91"/>
      <w:bookmarkEnd w:id="92"/>
      <w:bookmarkEnd w:id="9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4" w:name="_Toc27500"/>
      <w:bookmarkStart w:id="95" w:name="_Toc14809"/>
      <w:bookmarkStart w:id="96" w:name="_Toc11759"/>
      <w:bookmarkStart w:id="97" w:name="_Toc20827"/>
      <w:bookmarkStart w:id="98" w:name="_Toc16330023"/>
      <w:r>
        <w:rPr>
          <w:rFonts w:hint="eastAsia" w:ascii="黑体" w:hAnsi="黑体" w:eastAsia="黑体" w:cstheme="minorEastAsia"/>
          <w:b w:val="0"/>
          <w:sz w:val="28"/>
          <w:szCs w:val="28"/>
        </w:rPr>
        <w:t>6 交货</w:t>
      </w:r>
      <w:bookmarkEnd w:id="94"/>
      <w:bookmarkEnd w:id="95"/>
      <w:bookmarkEnd w:id="96"/>
      <w:bookmarkEnd w:id="97"/>
      <w:bookmarkEnd w:id="9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9" w:name="_Toc2984"/>
      <w:bookmarkStart w:id="100" w:name="_Toc8024"/>
      <w:bookmarkStart w:id="101" w:name="_Toc16330024"/>
      <w:bookmarkStart w:id="102" w:name="_Toc23308"/>
      <w:bookmarkStart w:id="103" w:name="_Toc25510"/>
      <w:r>
        <w:rPr>
          <w:rFonts w:hint="eastAsia" w:ascii="黑体" w:hAnsi="黑体" w:eastAsia="黑体" w:cstheme="minorEastAsia"/>
          <w:b w:val="0"/>
          <w:sz w:val="28"/>
          <w:szCs w:val="28"/>
        </w:rPr>
        <w:t>7 安装、调试</w:t>
      </w:r>
      <w:bookmarkEnd w:id="99"/>
      <w:bookmarkEnd w:id="100"/>
      <w:bookmarkEnd w:id="101"/>
      <w:bookmarkEnd w:id="102"/>
      <w:bookmarkEnd w:id="103"/>
    </w:p>
    <w:p>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7.5若设备安装、调试过程中需使用买方产品的，买方提供调试所用产品数量【  】件，超出此数量部分由卖方提供，由此产生的相关费用由卖方承担。</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4" w:name="_Toc6350"/>
      <w:bookmarkStart w:id="105" w:name="_Toc14260"/>
      <w:bookmarkStart w:id="106" w:name="_Toc16330025"/>
      <w:bookmarkStart w:id="107" w:name="_Toc14098"/>
      <w:bookmarkStart w:id="108" w:name="_Toc15547"/>
      <w:r>
        <w:rPr>
          <w:rFonts w:hint="eastAsia" w:ascii="黑体" w:hAnsi="黑体" w:eastAsia="黑体" w:cstheme="minorEastAsia"/>
          <w:b w:val="0"/>
          <w:sz w:val="28"/>
          <w:szCs w:val="28"/>
        </w:rPr>
        <w:t>8 价款与支付</w:t>
      </w:r>
      <w:bookmarkEnd w:id="104"/>
      <w:bookmarkEnd w:id="105"/>
      <w:bookmarkEnd w:id="106"/>
      <w:bookmarkEnd w:id="107"/>
      <w:bookmarkEnd w:id="10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w:t>
      </w:r>
      <w:r>
        <w:rPr>
          <w:rFonts w:hint="eastAsia" w:ascii="仿宋_GB2312" w:hAnsi="黑体" w:eastAsia="仿宋_GB2312" w:cstheme="minorEastAsia"/>
          <w:sz w:val="24"/>
          <w:szCs w:val="24"/>
          <w:lang w:val="en-US" w:eastAsia="zh-CN"/>
        </w:rPr>
        <w:t>设备全部到期无质量问题</w:t>
      </w:r>
      <w:r>
        <w:rPr>
          <w:rFonts w:hint="eastAsia" w:ascii="仿宋_GB2312" w:hAnsi="黑体" w:eastAsia="仿宋_GB2312" w:cstheme="minorEastAsia"/>
          <w:sz w:val="24"/>
          <w:szCs w:val="24"/>
        </w:rPr>
        <w:t xml:space="preserve">, </w:t>
      </w:r>
      <w:r>
        <w:rPr>
          <w:rFonts w:hint="eastAsia" w:ascii="仿宋_GB2312" w:hAnsi="黑体" w:eastAsia="仿宋_GB2312" w:cstheme="minorEastAsia"/>
          <w:sz w:val="24"/>
          <w:szCs w:val="24"/>
          <w:lang w:val="en-US" w:eastAsia="zh-CN"/>
        </w:rPr>
        <w:t>经安装调试并预验收合格后，</w:t>
      </w:r>
      <w:r>
        <w:rPr>
          <w:rFonts w:hint="eastAsia" w:ascii="仿宋_GB2312" w:hAnsi="黑体" w:eastAsia="仿宋_GB2312" w:cstheme="minorEastAsia"/>
          <w:sz w:val="24"/>
          <w:szCs w:val="24"/>
        </w:rPr>
        <w:t>卖方提交金额为合同含税价款</w:t>
      </w:r>
      <w:r>
        <w:rPr>
          <w:rFonts w:hint="eastAsia" w:ascii="仿宋_GB2312" w:hAnsi="黑体" w:eastAsia="仿宋_GB2312" w:cstheme="minorEastAsia"/>
          <w:sz w:val="24"/>
          <w:szCs w:val="24"/>
          <w:lang w:val="en-US" w:eastAsia="zh-CN"/>
        </w:rPr>
        <w:t>30</w:t>
      </w:r>
      <w:r>
        <w:rPr>
          <w:rFonts w:hint="eastAsia" w:ascii="仿宋_GB2312" w:hAnsi="黑体" w:eastAsia="仿宋_GB2312" w:cstheme="minorEastAsia"/>
          <w:sz w:val="24"/>
          <w:szCs w:val="24"/>
        </w:rPr>
        <w:t>%的收据（正本一份，复印件二份）及增值税专用发票（税率为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8.3.2终验收合格后，卖方提交金额为合同含税价款</w:t>
      </w:r>
      <w:r>
        <w:rPr>
          <w:rFonts w:hint="eastAsia" w:ascii="仿宋_GB2312" w:hAnsi="黑体" w:eastAsia="仿宋_GB2312" w:cstheme="minorEastAsia"/>
          <w:sz w:val="24"/>
          <w:szCs w:val="24"/>
          <w:lang w:val="en-US" w:eastAsia="zh-CN"/>
        </w:rPr>
        <w:t>60</w:t>
      </w:r>
      <w:r>
        <w:rPr>
          <w:rFonts w:hint="eastAsia" w:ascii="仿宋_GB2312" w:hAnsi="黑体" w:eastAsia="仿宋_GB2312" w:cstheme="minorEastAsia"/>
          <w:sz w:val="24"/>
          <w:szCs w:val="24"/>
        </w:rPr>
        <w:t>%的收据及合同价</w:t>
      </w:r>
      <w:r>
        <w:rPr>
          <w:rFonts w:hint="eastAsia" w:ascii="仿宋_GB2312" w:hAnsi="黑体" w:eastAsia="仿宋_GB2312" w:cstheme="minorEastAsia"/>
          <w:sz w:val="24"/>
          <w:szCs w:val="24"/>
          <w:lang w:val="en-US" w:eastAsia="zh-CN"/>
        </w:rPr>
        <w:t>70</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%，正本一份，复印件二份）并附带该套合同设备最终验收报告的原件及其复印件两份，经买方依照财务制度审核通过后支付：</w:t>
      </w:r>
    </w:p>
    <w:p>
      <w:pPr>
        <w:spacing w:line="360" w:lineRule="auto"/>
        <w:ind w:firstLine="453" w:firstLineChars="189"/>
        <w:rPr>
          <w:rFonts w:asciiTheme="minorEastAsia" w:hAnsiTheme="minorEastAsia" w:cstheme="minorEastAsia"/>
          <w:sz w:val="20"/>
          <w:szCs w:val="20"/>
        </w:rPr>
      </w:pPr>
      <w:bookmarkStart w:id="109" w:name="_Toc14676804"/>
      <w:bookmarkStart w:id="110" w:name="_Toc14531628"/>
      <w:r>
        <w:rPr>
          <w:rFonts w:hint="eastAsia" w:ascii="仿宋_GB2312" w:hAnsi="黑体" w:eastAsia="仿宋_GB2312" w:cstheme="minorEastAsia"/>
          <w:sz w:val="24"/>
          <w:szCs w:val="24"/>
        </w:rPr>
        <w:t>8.3.4合同含税总价款的 1</w:t>
      </w:r>
      <w:r>
        <w:rPr>
          <w:rFonts w:hint="eastAsia" w:ascii="仿宋_GB2312" w:hAnsi="黑体" w:eastAsia="仿宋_GB2312" w:cstheme="minorEastAsia"/>
          <w:sz w:val="24"/>
          <w:szCs w:val="24"/>
          <w:lang w:val="en-US" w:eastAsia="zh-CN"/>
        </w:rPr>
        <w:t>0</w:t>
      </w:r>
      <w:r>
        <w:rPr>
          <w:rFonts w:hint="eastAsia" w:ascii="仿宋_GB2312" w:hAnsi="黑体" w:eastAsia="仿宋_GB2312" w:cstheme="minorEastAsia"/>
          <w:sz w:val="24"/>
          <w:szCs w:val="24"/>
        </w:rPr>
        <w:t>%作为本合同约定设备的质量保证金，质量保证金在质量保证期内不计利息。待每套合同设备质量保证期满后，卖方向买方提交金额为合同价款1</w:t>
      </w:r>
      <w:r>
        <w:rPr>
          <w:rFonts w:hint="eastAsia" w:ascii="仿宋_GB2312" w:hAnsi="黑体" w:eastAsia="仿宋_GB2312" w:cstheme="minorEastAsia"/>
          <w:sz w:val="24"/>
          <w:szCs w:val="24"/>
          <w:lang w:val="en-US" w:eastAsia="zh-CN"/>
        </w:rPr>
        <w:t>0</w:t>
      </w:r>
      <w:r>
        <w:rPr>
          <w:rFonts w:hint="eastAsia" w:ascii="仿宋_GB2312" w:hAnsi="黑体" w:eastAsia="仿宋_GB2312" w:cstheme="minorEastAsia"/>
          <w:sz w:val="24"/>
          <w:szCs w:val="24"/>
        </w:rPr>
        <w:t>%的收据（正本一份，复印件二份）及设备使用单位的使用情况说明，经买方依照财务制度审核通过后30日支付。如有质量问题，质量保证金予以相应扣除。</w:t>
      </w:r>
      <w:bookmarkEnd w:id="109"/>
      <w:bookmarkEnd w:id="110"/>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1" w:name="_Toc6726"/>
      <w:bookmarkStart w:id="112" w:name="_Toc24085"/>
      <w:bookmarkStart w:id="113" w:name="_Toc16330026"/>
      <w:bookmarkStart w:id="114" w:name="_Toc25708"/>
      <w:bookmarkStart w:id="115" w:name="_Toc21726"/>
      <w:r>
        <w:rPr>
          <w:rFonts w:hint="eastAsia" w:ascii="黑体" w:hAnsi="黑体" w:eastAsia="黑体" w:cstheme="minorEastAsia"/>
          <w:b w:val="0"/>
          <w:sz w:val="28"/>
          <w:szCs w:val="28"/>
        </w:rPr>
        <w:t>9 质量保证及售后服务</w:t>
      </w:r>
      <w:bookmarkEnd w:id="111"/>
      <w:bookmarkEnd w:id="112"/>
      <w:bookmarkEnd w:id="113"/>
      <w:bookmarkEnd w:id="114"/>
      <w:bookmarkEnd w:id="11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6" w:name="_Toc26769"/>
      <w:bookmarkStart w:id="117" w:name="_Toc15570"/>
      <w:bookmarkStart w:id="118" w:name="_Toc12927"/>
      <w:bookmarkStart w:id="119" w:name="_Toc10359"/>
      <w:bookmarkStart w:id="120" w:name="_Toc16330027"/>
      <w:r>
        <w:rPr>
          <w:rFonts w:hint="eastAsia" w:ascii="黑体" w:hAnsi="黑体" w:eastAsia="黑体" w:cstheme="minorEastAsia"/>
          <w:b w:val="0"/>
          <w:sz w:val="28"/>
          <w:szCs w:val="28"/>
        </w:rPr>
        <w:t>10法定责任</w:t>
      </w:r>
      <w:bookmarkEnd w:id="116"/>
      <w:bookmarkEnd w:id="117"/>
      <w:bookmarkEnd w:id="118"/>
      <w:bookmarkEnd w:id="119"/>
      <w:bookmarkEnd w:id="12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21" w:name="_Toc27314"/>
      <w:bookmarkStart w:id="122" w:name="_Toc7698"/>
      <w:bookmarkStart w:id="123" w:name="_Toc30381"/>
      <w:bookmarkStart w:id="124" w:name="_Toc16330028"/>
      <w:bookmarkStart w:id="125" w:name="_Toc9708"/>
      <w:r>
        <w:rPr>
          <w:rFonts w:hint="eastAsia" w:ascii="黑体" w:hAnsi="黑体" w:eastAsia="黑体" w:cstheme="minorEastAsia"/>
          <w:b w:val="0"/>
          <w:sz w:val="28"/>
          <w:szCs w:val="28"/>
        </w:rPr>
        <w:t>11 违约责任</w:t>
      </w:r>
      <w:bookmarkEnd w:id="121"/>
      <w:bookmarkEnd w:id="122"/>
      <w:bookmarkEnd w:id="123"/>
      <w:bookmarkEnd w:id="124"/>
      <w:bookmarkEnd w:id="12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26" w:name="_Toc31554"/>
      <w:bookmarkStart w:id="127" w:name="_Toc9172"/>
      <w:bookmarkStart w:id="128" w:name="_Toc1827"/>
      <w:bookmarkStart w:id="129" w:name="_Toc16330029"/>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26"/>
    <w:bookmarkEnd w:id="127"/>
    <w:bookmarkEnd w:id="128"/>
    <w:bookmarkEnd w:id="129"/>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30" w:name="_Toc23793"/>
      <w:r>
        <w:rPr>
          <w:rFonts w:hint="eastAsia" w:ascii="黑体" w:hAnsi="黑体" w:eastAsia="黑体" w:cstheme="minorEastAsia"/>
          <w:b w:val="0"/>
          <w:sz w:val="28"/>
          <w:szCs w:val="28"/>
        </w:rPr>
        <w:t>12 合同的终止与解除</w:t>
      </w:r>
      <w:bookmarkEnd w:id="13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31" w:name="_Toc13671"/>
      <w:bookmarkStart w:id="132" w:name="_Toc16330030"/>
      <w:bookmarkStart w:id="133" w:name="_Toc31945"/>
      <w:bookmarkStart w:id="134" w:name="_Toc11937"/>
      <w:bookmarkStart w:id="135" w:name="_Toc8620"/>
      <w:r>
        <w:rPr>
          <w:rFonts w:hint="eastAsia" w:ascii="黑体" w:hAnsi="黑体" w:eastAsia="黑体" w:cstheme="minorEastAsia"/>
          <w:b w:val="0"/>
          <w:sz w:val="28"/>
          <w:szCs w:val="28"/>
        </w:rPr>
        <w:t>13 不可抗力</w:t>
      </w:r>
      <w:bookmarkEnd w:id="131"/>
      <w:bookmarkEnd w:id="132"/>
      <w:bookmarkEnd w:id="133"/>
      <w:bookmarkEnd w:id="134"/>
      <w:bookmarkEnd w:id="13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36" w:name="_Toc30389"/>
      <w:bookmarkStart w:id="137" w:name="_Toc18772"/>
      <w:bookmarkStart w:id="138" w:name="_Toc16330031"/>
      <w:bookmarkStart w:id="139" w:name="_Toc31243"/>
      <w:bookmarkStart w:id="140" w:name="_Toc637"/>
      <w:r>
        <w:rPr>
          <w:rFonts w:hint="eastAsia" w:ascii="黑体" w:hAnsi="黑体" w:eastAsia="黑体" w:cstheme="minorEastAsia"/>
          <w:b w:val="0"/>
          <w:sz w:val="28"/>
          <w:szCs w:val="28"/>
        </w:rPr>
        <w:t>14 通讯</w:t>
      </w:r>
      <w:bookmarkEnd w:id="136"/>
      <w:bookmarkEnd w:id="137"/>
      <w:bookmarkEnd w:id="138"/>
      <w:bookmarkEnd w:id="139"/>
      <w:bookmarkEnd w:id="14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2"/>
        <w:tabs>
          <w:tab w:val="right" w:leader="dot" w:pos="9061"/>
        </w:tabs>
        <w:spacing w:before="312" w:beforeLines="100"/>
        <w:rPr>
          <w:rFonts w:ascii="黑体" w:hAnsi="黑体" w:eastAsia="黑体" w:cstheme="minorEastAsia"/>
          <w:b w:val="0"/>
          <w:sz w:val="28"/>
          <w:szCs w:val="28"/>
        </w:rPr>
      </w:pPr>
      <w:bookmarkStart w:id="141" w:name="_Toc12984"/>
      <w:bookmarkStart w:id="142" w:name="_Toc16330032"/>
      <w:bookmarkStart w:id="143" w:name="_Toc11290"/>
      <w:bookmarkStart w:id="144" w:name="_Toc9915"/>
      <w:bookmarkStart w:id="145" w:name="_Toc23011"/>
      <w:r>
        <w:rPr>
          <w:rFonts w:hint="eastAsia" w:ascii="黑体" w:hAnsi="黑体" w:eastAsia="黑体" w:cstheme="minorEastAsia"/>
          <w:b w:val="0"/>
          <w:sz w:val="28"/>
          <w:szCs w:val="28"/>
        </w:rPr>
        <w:t>15 适用法律及争议解决</w:t>
      </w:r>
      <w:bookmarkEnd w:id="141"/>
      <w:bookmarkEnd w:id="142"/>
      <w:bookmarkEnd w:id="143"/>
      <w:bookmarkEnd w:id="144"/>
      <w:bookmarkEnd w:id="14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46" w:name="_Toc18207"/>
      <w:bookmarkStart w:id="147" w:name="_Toc16330033"/>
      <w:bookmarkStart w:id="148" w:name="_Toc23765"/>
      <w:bookmarkStart w:id="149" w:name="_Toc23906"/>
      <w:bookmarkStart w:id="150" w:name="_Toc5747"/>
      <w:r>
        <w:rPr>
          <w:rFonts w:hint="eastAsia" w:ascii="黑体" w:hAnsi="黑体" w:eastAsia="黑体" w:cstheme="minorEastAsia"/>
          <w:b w:val="0"/>
          <w:sz w:val="28"/>
          <w:szCs w:val="28"/>
        </w:rPr>
        <w:t>16 附件</w:t>
      </w:r>
      <w:bookmarkEnd w:id="146"/>
      <w:bookmarkEnd w:id="147"/>
      <w:bookmarkEnd w:id="148"/>
      <w:bookmarkEnd w:id="149"/>
      <w:bookmarkEnd w:id="15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51" w:name="_Toc31331"/>
      <w:bookmarkStart w:id="152" w:name="_Toc27202"/>
      <w:bookmarkStart w:id="153" w:name="_Toc17656"/>
      <w:bookmarkStart w:id="154" w:name="_Toc9594"/>
      <w:bookmarkStart w:id="155" w:name="_Toc16330034"/>
      <w:r>
        <w:rPr>
          <w:rFonts w:hint="eastAsia" w:ascii="黑体" w:hAnsi="黑体" w:eastAsia="黑体" w:cstheme="minorEastAsia"/>
          <w:b w:val="0"/>
          <w:sz w:val="28"/>
          <w:szCs w:val="28"/>
        </w:rPr>
        <w:t>17 其他规定</w:t>
      </w:r>
      <w:bookmarkEnd w:id="151"/>
      <w:bookmarkEnd w:id="152"/>
      <w:bookmarkEnd w:id="153"/>
      <w:bookmarkEnd w:id="154"/>
      <w:bookmarkEnd w:id="15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56" w:name="_Toc17952"/>
      <w:bookmarkStart w:id="157" w:name="_Toc29136"/>
      <w:bookmarkStart w:id="158" w:name="_Toc19077"/>
      <w:bookmarkStart w:id="159"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60" w:name="_Toc15340"/>
      <w:r>
        <w:rPr>
          <w:rFonts w:hint="eastAsia" w:ascii="黑体" w:hAnsi="黑体" w:eastAsia="黑体" w:cstheme="minorEastAsia"/>
          <w:b w:val="0"/>
          <w:sz w:val="28"/>
          <w:szCs w:val="28"/>
        </w:rPr>
        <w:t>18 签署事项</w:t>
      </w:r>
      <w:bookmarkEnd w:id="156"/>
      <w:bookmarkEnd w:id="157"/>
      <w:bookmarkEnd w:id="158"/>
      <w:bookmarkEnd w:id="159"/>
      <w:bookmarkEnd w:id="1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keepNext w:val="0"/>
        <w:keepLines w:val="0"/>
        <w:pageBreakBefore w:val="0"/>
        <w:widowControl w:val="0"/>
        <w:kinsoku/>
        <w:wordWrap/>
        <w:overflowPunct/>
        <w:topLinePunct w:val="0"/>
        <w:autoSpaceDE/>
        <w:autoSpaceDN/>
        <w:bidi w:val="0"/>
        <w:adjustRightInd/>
        <w:snapToGrid/>
        <w:spacing w:line="360" w:lineRule="auto"/>
        <w:ind w:firstLine="398" w:firstLineChars="189"/>
        <w:textAlignment w:val="auto"/>
        <w:rPr>
          <w:rFonts w:hint="eastAsia" w:ascii="仿宋_GB2312" w:eastAsia="仿宋_GB2312" w:hAnsiTheme="minorEastAsia" w:cstheme="minorEastAsia"/>
          <w:b/>
          <w:bCs/>
          <w:sz w:val="21"/>
          <w:szCs w:val="21"/>
        </w:rPr>
      </w:pPr>
      <w:r>
        <w:rPr>
          <w:rFonts w:hint="eastAsia" w:ascii="仿宋_GB2312" w:eastAsia="仿宋_GB2312" w:hAnsiTheme="minorEastAsia" w:cstheme="minorEastAsia"/>
          <w:b/>
          <w:bCs/>
          <w:sz w:val="21"/>
          <w:szCs w:val="21"/>
        </w:rPr>
        <w:t>本合同的各签约方选择使用电子签约的，已由法定代表人本人或授权其代理人在契约锁电子签约平台进行了实名注册，并通过CA证书进行签约。电子签约的任一方均已知晓且同意通过代理人密码登录账户后的所有操作视为该方的行为，并自愿承担由此产生的一切法律后果。电子签约方的代理人包括在契约锁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398"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widowControl/>
        <w:adjustRightInd w:val="0"/>
        <w:snapToGrid w:val="0"/>
        <w:spacing w:line="360" w:lineRule="auto"/>
        <w:jc w:val="left"/>
        <w:rPr>
          <w:rFonts w:hint="eastAsia" w:ascii="仿宋_GB2312" w:hAnsi="宋体" w:eastAsia="仿宋_GB2312"/>
          <w:snapToGrid w:val="0"/>
          <w:kern w:val="0"/>
          <w:sz w:val="24"/>
          <w:szCs w:val="24"/>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pStyle w:val="2"/>
        <w:tabs>
          <w:tab w:val="right" w:leader="dot" w:pos="9061"/>
        </w:tabs>
        <w:rPr>
          <w:rFonts w:ascii="黑体" w:hAnsi="黑体" w:eastAsia="黑体" w:cstheme="minorEastAsia"/>
          <w:b w:val="0"/>
          <w:sz w:val="28"/>
          <w:szCs w:val="28"/>
        </w:rPr>
      </w:pPr>
      <w:bookmarkStart w:id="161" w:name="_Toc14581"/>
      <w:r>
        <w:rPr>
          <w:rFonts w:hint="eastAsia" w:ascii="黑体" w:hAnsi="黑体" w:eastAsia="黑体" w:cstheme="minorEastAsia"/>
          <w:b w:val="0"/>
          <w:sz w:val="28"/>
          <w:szCs w:val="28"/>
        </w:rPr>
        <w:t>附件一：设备清单明细表</w:t>
      </w:r>
      <w:bookmarkEnd w:id="161"/>
    </w:p>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7"/>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62" w:name="_Toc3778"/>
      <w:bookmarkStart w:id="163" w:name="_Toc25120"/>
      <w:bookmarkStart w:id="164" w:name="_Toc5379"/>
      <w:bookmarkStart w:id="165" w:name="_Toc24623"/>
      <w:bookmarkStart w:id="166" w:name="_Toc16330037"/>
    </w:p>
    <w:p>
      <w:pPr>
        <w:rPr>
          <w:rFonts w:asciiTheme="minorEastAsia" w:hAnsiTheme="minorEastAsia" w:cstheme="minorEastAsia"/>
          <w:sz w:val="20"/>
          <w:szCs w:val="20"/>
        </w:rPr>
      </w:pPr>
    </w:p>
    <w:p>
      <w:pPr>
        <w:pStyle w:val="2"/>
        <w:tabs>
          <w:tab w:val="right" w:leader="dot" w:pos="9061"/>
        </w:tabs>
        <w:rPr>
          <w:rFonts w:ascii="黑体" w:hAnsi="黑体" w:eastAsia="黑体" w:cstheme="minorEastAsia"/>
          <w:b w:val="0"/>
          <w:sz w:val="28"/>
          <w:szCs w:val="28"/>
        </w:rPr>
      </w:pPr>
      <w:bookmarkStart w:id="167" w:name="_Toc8175"/>
      <w:r>
        <w:rPr>
          <w:rFonts w:hint="eastAsia" w:ascii="黑体" w:hAnsi="黑体" w:eastAsia="黑体" w:cstheme="minorEastAsia"/>
          <w:b w:val="0"/>
          <w:sz w:val="28"/>
          <w:szCs w:val="28"/>
        </w:rPr>
        <w:t xml:space="preserve">附件二 </w:t>
      </w:r>
      <w:bookmarkEnd w:id="162"/>
      <w:bookmarkEnd w:id="163"/>
      <w:bookmarkEnd w:id="164"/>
      <w:bookmarkEnd w:id="165"/>
      <w:bookmarkEnd w:id="166"/>
      <w:r>
        <w:rPr>
          <w:rFonts w:hint="eastAsia" w:ascii="黑体" w:hAnsi="黑体" w:eastAsia="黑体" w:cstheme="minorEastAsia"/>
          <w:b w:val="0"/>
          <w:sz w:val="28"/>
          <w:szCs w:val="28"/>
        </w:rPr>
        <w:t>技术协议书</w:t>
      </w:r>
      <w:bookmarkEnd w:id="167"/>
    </w:p>
    <w:p>
      <w:pPr>
        <w:ind w:right="360"/>
        <w:rPr>
          <w:rFonts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68"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68"/>
    </w:p>
    <w:p>
      <w:pPr>
        <w:keepNext/>
        <w:keepLines/>
        <w:outlineLvl w:val="9"/>
        <w:rPr>
          <w:rFonts w:hint="eastAsia" w:ascii="Times New Roman" w:hAnsi="Times New Roman" w:eastAsia="宋体" w:cs="Times New Roman"/>
          <w:b/>
          <w:bCs/>
          <w:color w:val="000000"/>
          <w:sz w:val="24"/>
          <w:szCs w:val="24"/>
        </w:rPr>
      </w:pPr>
    </w:p>
    <w:p>
      <w:pPr>
        <w:pStyle w:val="17"/>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7"/>
        <w:rPr>
          <w:rFonts w:hint="eastAsia"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9" w:name="_Toc639004"/>
      <w:bookmarkStart w:id="170" w:name="_Toc353881012"/>
      <w:bookmarkStart w:id="171" w:name="_Toc25811"/>
      <w:bookmarkStart w:id="172"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9"/>
      <w:bookmarkEnd w:id="170"/>
      <w:bookmarkEnd w:id="171"/>
      <w:bookmarkEnd w:id="172"/>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重汽（济南）轻卡有限公司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Times New Roman" w:hAnsi="Times New Roman" w:eastAsia="宋体" w:cs="Times New Roman"/>
          <w:color w:val="000000"/>
          <w:kern w:val="2"/>
          <w:sz w:val="24"/>
          <w:szCs w:val="24"/>
          <w:highlight w:val="none"/>
          <w:u w:val="none"/>
          <w:shd w:val="clear" w:color="auto" w:fill="auto"/>
          <w:lang w:val="en-US" w:eastAsia="zh-CN" w:bidi="ar-SA"/>
        </w:rPr>
        <w:t>定值拧紧设备项目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none"/>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lang w:val="en-US" w:eastAsia="zh-CN"/>
        </w:rPr>
        <w:t>二</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val="en-US" w:eastAsia="zh-CN"/>
        </w:rPr>
        <w:t>定值拧紧设备项目</w:t>
      </w:r>
      <w:r>
        <w:rPr>
          <w:rFonts w:hint="eastAsia" w:ascii="宋体" w:hAnsi="宋体" w:eastAsia="宋体" w:cs="宋体"/>
          <w:b w:val="0"/>
          <w:bCs w:val="0"/>
          <w:color w:val="000000"/>
          <w:sz w:val="24"/>
          <w:szCs w:val="24"/>
          <w:highlight w:val="none"/>
          <w:u w:val="single"/>
          <w:shd w:val="clear" w:color="auto" w:fill="auto"/>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highlight w:val="none"/>
          <w:lang w:eastAsia="zh-CN"/>
        </w:rPr>
        <w:t>CGZX2023100279</w:t>
      </w:r>
      <w:r>
        <w:rPr>
          <w:rFonts w:hint="eastAsia" w:ascii="宋体" w:hAnsi="宋体" w:eastAsia="宋体" w:cs="Times New Roman"/>
          <w:color w:val="000000"/>
          <w:sz w:val="24"/>
          <w:szCs w:val="24"/>
          <w:highlight w:val="none"/>
        </w:rPr>
        <w:t>）现授</w:t>
      </w:r>
      <w:r>
        <w:rPr>
          <w:rFonts w:hint="eastAsia" w:ascii="宋体" w:hAnsi="宋体" w:eastAsia="宋体" w:cs="Times New Roman"/>
          <w:color w:val="000000"/>
          <w:sz w:val="24"/>
          <w:szCs w:val="24"/>
        </w:rPr>
        <w:t>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eastAsia="zh-CN"/>
        </w:rPr>
        <w:t>（</w:t>
      </w:r>
      <w:r>
        <w:rPr>
          <w:rFonts w:hint="eastAsia" w:ascii="宋体" w:hAnsi="宋体" w:eastAsia="宋体" w:cs="Times New Roman"/>
          <w:color w:val="000000"/>
          <w:sz w:val="24"/>
          <w:szCs w:val="24"/>
          <w:u w:val="single"/>
          <w:lang w:val="en-US" w:eastAsia="zh-CN"/>
        </w:rPr>
        <w:t>须为移动电话</w:t>
      </w:r>
      <w:r>
        <w:rPr>
          <w:rFonts w:hint="eastAsia" w:ascii="宋体" w:hAnsi="宋体" w:eastAsia="宋体" w:cs="Times New Roman"/>
          <w:color w:val="000000"/>
          <w:sz w:val="24"/>
          <w:szCs w:val="24"/>
          <w:u w:val="single"/>
          <w:lang w:eastAsia="zh-CN"/>
        </w:rPr>
        <w:t>）</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7"/>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7"/>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7"/>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7"/>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7"/>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7"/>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7"/>
              <w:spacing w:before="114"/>
              <w:ind w:left="720"/>
            </w:pPr>
            <w:r>
              <w:t xml:space="preserve">品牌区分 </w:t>
            </w:r>
          </w:p>
        </w:tc>
        <w:tc>
          <w:tcPr>
            <w:tcW w:w="7500" w:type="dxa"/>
            <w:gridSpan w:val="6"/>
          </w:tcPr>
          <w:p>
            <w:pPr>
              <w:pStyle w:val="137"/>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7"/>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7"/>
              <w:spacing w:before="15"/>
              <w:ind w:left="279"/>
            </w:pPr>
            <w:r>
              <w:rPr>
                <w:spacing w:val="-2"/>
              </w:rPr>
              <w:t>质量</w:t>
            </w:r>
            <w:r>
              <w:t xml:space="preserve"> </w:t>
            </w:r>
          </w:p>
          <w:p>
            <w:pPr>
              <w:pStyle w:val="137"/>
              <w:spacing w:before="30" w:line="277" w:lineRule="exact"/>
              <w:ind w:left="279"/>
            </w:pPr>
            <w:r>
              <w:rPr>
                <w:rFonts w:hint="eastAsia"/>
              </w:rPr>
              <w:t>体系</w:t>
            </w:r>
          </w:p>
        </w:tc>
        <w:tc>
          <w:tcPr>
            <w:tcW w:w="2820" w:type="dxa"/>
            <w:gridSpan w:val="2"/>
          </w:tcPr>
          <w:p>
            <w:pPr>
              <w:pStyle w:val="137"/>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7"/>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br w:type="page"/>
      </w: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20</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shd w:val="clear" w:color="auto" w:fill="auto"/>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lang w:val="en-US" w:eastAsia="zh-CN"/>
        </w:rPr>
        <w:t>定值拧紧设备项目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重汽（济南）轻卡有限公司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无论是否中标、是否签署合同，对获得的招标人商业秘密（包括但不限于产品和/或装备的技术文件、汽车产品数模、数据</w:t>
      </w:r>
      <w:r>
        <w:rPr>
          <w:rFonts w:hint="eastAsia" w:ascii="宋体" w:hAnsi="宋体" w:eastAsia="宋体" w:cs="Times New Roman"/>
          <w:sz w:val="24"/>
          <w:szCs w:val="20"/>
          <w:u w:val="single"/>
          <w:lang w:eastAsia="zh-CN"/>
        </w:rPr>
        <w:t>、</w:t>
      </w:r>
      <w:r>
        <w:rPr>
          <w:rFonts w:hint="eastAsia" w:ascii="宋体" w:hAnsi="宋体" w:eastAsia="宋体" w:cs="Times New Roman"/>
          <w:sz w:val="24"/>
          <w:szCs w:val="20"/>
          <w:u w:val="single"/>
        </w:rPr>
        <w:t>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lang w:val="en-US" w:eastAsia="zh-CN"/>
        </w:rPr>
        <w:t>定值拧紧设备项目</w:t>
      </w:r>
      <w:r>
        <w:rPr>
          <w:rFonts w:ascii="宋体" w:hAnsi="宋体" w:eastAsia="宋体" w:cs="Times New Roman"/>
          <w:color w:val="000000"/>
          <w:sz w:val="24"/>
          <w:szCs w:val="24"/>
          <w:shd w:val="clear" w:color="auto" w:fill="auto"/>
        </w:rPr>
        <w:t xml:space="preserve">  </w:t>
      </w:r>
      <w:r>
        <w:rPr>
          <w:rFonts w:ascii="宋体" w:hAnsi="宋体" w:eastAsia="宋体" w:cs="Times New Roman"/>
          <w:color w:val="000000"/>
          <w:sz w:val="24"/>
          <w:szCs w:val="24"/>
        </w:rPr>
        <w:t xml:space="preserve">                                                         </w:t>
      </w:r>
    </w:p>
    <w:tbl>
      <w:tblPr>
        <w:tblStyle w:val="38"/>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Times New Roman"/>
          <w:sz w:val="24"/>
          <w:szCs w:val="20"/>
          <w:lang w:eastAsia="zh-CN"/>
        </w:rPr>
      </w:pPr>
      <w:r>
        <w:rPr>
          <w:rFonts w:hint="eastAsia" w:ascii="宋体" w:hAnsi="宋体" w:eastAsia="宋体" w:cs="Times New Roman"/>
          <w:sz w:val="24"/>
          <w:szCs w:val="20"/>
        </w:rPr>
        <w:t>法定代表人（委托代理人）：（签字</w:t>
      </w:r>
      <w:r>
        <w:rPr>
          <w:rFonts w:hint="eastAsia" w:ascii="宋体" w:hAnsi="宋体" w:eastAsia="宋体" w:cs="Times New Roman"/>
          <w:sz w:val="24"/>
          <w:szCs w:val="20"/>
          <w:lang w:eastAsia="zh-CN"/>
        </w:rPr>
        <w:t>）</w:t>
      </w:r>
    </w:p>
    <w:p>
      <w:pPr>
        <w:pStyle w:val="24"/>
        <w:rPr>
          <w:rFonts w:hint="eastAsia" w:ascii="宋体" w:hAnsi="宋体" w:eastAsia="宋体" w:cs="Times New Roman"/>
          <w:sz w:val="24"/>
          <w:szCs w:val="20"/>
          <w:lang w:eastAsia="zh-CN"/>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hint="eastAsia"/>
          <w:lang w:val="en-US" w:eastAsia="zh-CN"/>
        </w:rPr>
        <w:sectPr>
          <w:footerReference r:id="rId21" w:type="first"/>
          <w:footerReference r:id="rId20"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eastAsia="zh-CN"/>
        </w:rPr>
        <w:t>2020年1月1日</w:t>
      </w:r>
      <w:r>
        <w:rPr>
          <w:rFonts w:hint="eastAsia" w:ascii="Times New Roman" w:hAnsi="Times New Roman" w:eastAsia="宋体" w:cs="Times New Roman"/>
          <w:b/>
          <w:bCs/>
          <w:color w:val="000000"/>
          <w:sz w:val="24"/>
          <w:szCs w:val="24"/>
        </w:rPr>
        <w:t>以来同类项目业绩一览表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lang w:val="en-US" w:eastAsia="zh-CN"/>
        </w:rPr>
        <w:t>定值拧紧设备项目</w:t>
      </w:r>
      <w:r>
        <w:rPr>
          <w:rFonts w:ascii="宋体" w:hAnsi="宋体" w:eastAsia="宋体" w:cs="Times New Roman"/>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red"/>
                <w:lang w:eastAsia="zh-CN"/>
              </w:rPr>
              <w:t>2020年1月1日</w:t>
            </w:r>
            <w:r>
              <w:rPr>
                <w:rFonts w:ascii="宋体" w:hAnsi="宋体" w:eastAsia="宋体" w:cs="宋体"/>
                <w:sz w:val="24"/>
                <w:szCs w:val="24"/>
                <w:highlight w:val="red"/>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eastAsia="zh-CN"/>
        </w:rPr>
        <w:t>2020年1月1日</w:t>
      </w:r>
      <w:r>
        <w:rPr>
          <w:rFonts w:hint="eastAsia" w:ascii="宋体" w:hAnsi="宋体" w:eastAsia="宋体" w:cs="宋体"/>
          <w:kern w:val="0"/>
          <w:sz w:val="24"/>
          <w:szCs w:val="20"/>
        </w:rPr>
        <w:t>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default" w:ascii="宋体" w:hAnsi="宋体" w:eastAsia="宋体" w:cs="Times New Roman"/>
          <w:sz w:val="24"/>
          <w:szCs w:val="20"/>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sz w:val="24"/>
          <w:szCs w:val="20"/>
          <w:lang w:val="en-US" w:eastAsia="zh-CN"/>
        </w:rPr>
        <w:t>定值拧紧设备项目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重汽（济南）轻卡有限公司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lang w:val="en-US" w:eastAsia="zh-CN"/>
        </w:rPr>
        <w:t>定值拧紧设备项目</w:t>
      </w:r>
      <w:r>
        <w:rPr>
          <w:rFonts w:ascii="宋体" w:hAnsi="宋体" w:eastAsia="宋体" w:cs="Times New Roman"/>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p>
        </w:tc>
        <w:tc>
          <w:tcPr>
            <w:tcW w:w="848" w:type="dxa"/>
            <w:vAlign w:val="center"/>
          </w:tcPr>
          <w:p>
            <w:pPr>
              <w:jc w:val="center"/>
              <w:rPr>
                <w:rFonts w:hint="default" w:ascii="Times New Roman" w:hAnsi="Times New Roman" w:eastAsia="宋体" w:cs="Times New Roman"/>
                <w:b/>
                <w:szCs w:val="20"/>
                <w:lang w:val="en-US" w:eastAsia="zh-CN"/>
              </w:rPr>
            </w:pPr>
          </w:p>
        </w:tc>
        <w:tc>
          <w:tcPr>
            <w:tcW w:w="2270" w:type="dxa"/>
            <w:vAlign w:val="center"/>
          </w:tcPr>
          <w:p>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p>
          <w:p>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3043" w:type="dxa"/>
            <w:gridSpan w:val="3"/>
            <w:vAlign w:val="center"/>
          </w:tcPr>
          <w:p>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rPr>
              <w:t>投标总价</w:t>
            </w:r>
            <w:r>
              <w:rPr>
                <w:rFonts w:hint="eastAsia" w:ascii="等线" w:hAnsi="等线" w:eastAsia="等线" w:cs="Times New Roman"/>
                <w:b/>
                <w:szCs w:val="20"/>
              </w:rPr>
              <w:t>（元，含税）大写</w:t>
            </w:r>
          </w:p>
        </w:tc>
        <w:tc>
          <w:tcPr>
            <w:tcW w:w="6017" w:type="dxa"/>
            <w:gridSpan w:val="5"/>
            <w:vAlign w:val="center"/>
          </w:tcPr>
          <w:p>
            <w:pPr>
              <w:jc w:val="center"/>
              <w:rPr>
                <w:rFonts w:ascii="Times New Roman" w:hAnsi="Times New Roman" w:eastAsia="宋体" w:cs="Times New Roman"/>
                <w:b/>
                <w:szCs w:val="20"/>
              </w:rPr>
            </w:pPr>
          </w:p>
        </w:tc>
      </w:tr>
    </w:tbl>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520" w:lineRule="exact"/>
        <w:rPr>
          <w:rFonts w:ascii="宋体" w:hAnsi="宋体" w:eastAsia="宋体" w:cs="Times New Roman"/>
          <w:b/>
          <w:bCs/>
          <w:szCs w:val="21"/>
        </w:rPr>
      </w:pPr>
      <w:r>
        <w:rPr>
          <w:rFonts w:hint="eastAsia" w:ascii="宋体" w:hAnsi="宋体" w:eastAsia="宋体" w:cs="Times New Roman"/>
          <w:b/>
          <w:bCs/>
          <w:szCs w:val="21"/>
        </w:rPr>
        <w:t>3.需写明含税价、不含税价格、税率。</w:t>
      </w:r>
    </w:p>
    <w:p>
      <w:pPr>
        <w:spacing w:line="520" w:lineRule="exact"/>
        <w:rPr>
          <w:rFonts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pPr>
        <w:spacing w:line="520" w:lineRule="exact"/>
        <w:rPr>
          <w:rFonts w:ascii="宋体" w:hAnsi="宋体" w:eastAsia="宋体" w:cs="Times New Roman"/>
          <w:b/>
          <w:bCs/>
          <w:szCs w:val="21"/>
          <w:highlight w:val="yellow"/>
          <w:lang w:val="en-US" w:eastAsia="zh-CN"/>
        </w:rPr>
      </w:pPr>
      <w:r>
        <w:rPr>
          <w:rFonts w:hint="eastAsia" w:ascii="宋体" w:hAnsi="宋体" w:eastAsia="宋体" w:cs="Times New Roman"/>
          <w:b/>
          <w:bCs/>
          <w:szCs w:val="21"/>
          <w:highlight w:val="yellow"/>
          <w:lang w:val="en-US" w:eastAsia="zh-CN"/>
        </w:rPr>
        <w:t>5.投标总价包括全部（全新）产品价、表面处理费用、运杂费（包括现场卸车费）、设计、制造、安装、调试（含现场调试）、包装运输费、验收、技术及售后服务费、技术资料费、备品备件费等所有费用的总和。</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5"/>
        <w:tblW w:w="133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606"/>
        <w:gridCol w:w="2239"/>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710" w:type="dxa"/>
          </w:tcPr>
          <w:p>
            <w:pPr>
              <w:autoSpaceDE w:val="0"/>
              <w:autoSpaceDN w:val="0"/>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606" w:type="dxa"/>
          </w:tcPr>
          <w:p>
            <w:pPr>
              <w:autoSpaceDE w:val="0"/>
              <w:autoSpaceDN w:val="0"/>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autoSpaceDE w:val="0"/>
              <w:autoSpaceDN w:val="0"/>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autoSpaceDE w:val="0"/>
              <w:autoSpaceDN w:val="0"/>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pPr>
              <w:autoSpaceDE w:val="0"/>
              <w:autoSpaceDN w:val="0"/>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pPr>
              <w:autoSpaceDE w:val="0"/>
              <w:autoSpaceDN w:val="0"/>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pPr>
              <w:autoSpaceDE w:val="0"/>
              <w:autoSpaceDN w:val="0"/>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autoSpaceDE w:val="0"/>
              <w:autoSpaceDN w:val="0"/>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710"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606"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autoSpaceDE w:val="0"/>
              <w:autoSpaceDN w:val="0"/>
              <w:spacing w:before="0" w:line="221" w:lineRule="auto"/>
              <w:ind w:left="0" w:right="0" w:firstLine="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品牌</w:t>
            </w:r>
          </w:p>
        </w:tc>
        <w:tc>
          <w:tcPr>
            <w:tcW w:w="2519" w:type="dxa"/>
            <w:tcBorders>
              <w:right w:val="single" w:color="000000" w:sz="4" w:space="0"/>
            </w:tcBorders>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autoSpaceDE w:val="0"/>
              <w:autoSpaceDN w:val="0"/>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tcPr>
          <w:p>
            <w:pPr>
              <w:autoSpaceDE w:val="0"/>
              <w:autoSpaceDN w:val="0"/>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1606" w:type="dxa"/>
          </w:tcPr>
          <w:p>
            <w:pPr>
              <w:autoSpaceDE w:val="0"/>
              <w:autoSpaceDN w:val="0"/>
              <w:rPr>
                <w:rFonts w:ascii="Arial"/>
              </w:rPr>
            </w:pPr>
            <w:r>
              <w:rPr>
                <w:rFonts w:hint="eastAsia" w:ascii="宋体" w:hAnsi="宋体" w:eastAsia="宋体" w:cs="宋体"/>
              </w:rPr>
              <w:t>以上投标设备不足之处请往下添加序号自行补充</w:t>
            </w:r>
          </w:p>
        </w:tc>
        <w:tc>
          <w:tcPr>
            <w:tcW w:w="2239" w:type="dxa"/>
          </w:tcPr>
          <w:p>
            <w:pPr>
              <w:autoSpaceDE w:val="0"/>
              <w:autoSpaceDN w:val="0"/>
              <w:rPr>
                <w:rFonts w:ascii="Arial"/>
              </w:rPr>
            </w:pPr>
          </w:p>
        </w:tc>
        <w:tc>
          <w:tcPr>
            <w:tcW w:w="1120" w:type="dxa"/>
          </w:tcPr>
          <w:p>
            <w:pPr>
              <w:autoSpaceDE w:val="0"/>
              <w:autoSpaceDN w:val="0"/>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876" w:type="dxa"/>
            <w:gridSpan w:val="6"/>
            <w:tcBorders>
              <w:right w:val="single" w:color="000000" w:sz="4" w:space="0"/>
            </w:tcBorders>
          </w:tcPr>
          <w:p>
            <w:pPr>
              <w:autoSpaceDE w:val="0"/>
              <w:autoSpaceDN w:val="0"/>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lang w:val="en-US" w:eastAsia="zh-CN"/>
        </w:rPr>
        <w:t>6</w:t>
      </w:r>
      <w:r>
        <w:rPr>
          <w:rFonts w:hint="eastAsia" w:ascii="宋体" w:hAnsi="宋体" w:eastAsia="宋体" w:cs="宋体"/>
          <w:spacing w:val="-6"/>
          <w:szCs w:val="21"/>
        </w:rPr>
        <w:t>.因填写不规范造成废标及终止招标的，责任由投标人自负。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4" w:type="default"/>
          <w:pgSz w:w="16841" w:h="11907" w:orient="landscape"/>
          <w:pgMar w:top="400" w:right="1387" w:bottom="1168" w:left="1473" w:header="0" w:footer="990" w:gutter="0"/>
          <w:pgBorders>
            <w:top w:val="none" w:sz="0" w:space="0"/>
            <w:left w:val="none" w:sz="0" w:space="0"/>
            <w:bottom w:val="none" w:sz="0" w:space="0"/>
            <w:right w:val="none" w:sz="0" w:space="0"/>
          </w:pgBorders>
          <w:pgNumType w:fmt="decimal"/>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pgNumType w:fmt="decimal"/>
          <w:cols w:equalWidth="0" w:num="2">
            <w:col w:w="4757" w:space="100"/>
            <w:col w:w="9124"/>
          </w:cols>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5"/>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tcBorders>
              <w:tl2br w:val="nil"/>
              <w:tr2bl w:val="nil"/>
            </w:tcBorders>
            <w:vAlign w:val="top"/>
          </w:tcPr>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tcBorders>
              <w:tl2br w:val="nil"/>
              <w:tr2bl w:val="nil"/>
            </w:tcBorders>
            <w:vAlign w:val="top"/>
          </w:tcPr>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Borders>
              <w:tl2br w:val="nil"/>
              <w:tr2bl w:val="nil"/>
            </w:tcBorders>
            <w:vAlign w:val="top"/>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86" w:type="dxa"/>
            <w:tcBorders>
              <w:tl2br w:val="nil"/>
              <w:tr2bl w:val="nil"/>
            </w:tcBorders>
            <w:vAlign w:val="top"/>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596" w:type="dxa"/>
            <w:tcBorders>
              <w:tl2br w:val="nil"/>
              <w:tr2bl w:val="nil"/>
            </w:tcBorders>
            <w:vAlign w:val="top"/>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64" w:type="dxa"/>
            <w:tcBorders>
              <w:tl2br w:val="nil"/>
              <w:tr2bl w:val="nil"/>
            </w:tcBorders>
            <w:vAlign w:val="top"/>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Borders>
              <w:tl2br w:val="nil"/>
              <w:tr2bl w:val="nil"/>
            </w:tcBorders>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tcBorders>
              <w:tl2br w:val="nil"/>
              <w:tr2bl w:val="nil"/>
            </w:tcBorders>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Borders>
              <w:tl2br w:val="nil"/>
              <w:tr2bl w:val="nil"/>
            </w:tcBorders>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vMerge w:val="restart"/>
            <w:tcBorders>
              <w:tl2br w:val="nil"/>
              <w:tr2bl w:val="nil"/>
            </w:tcBorders>
            <w:vAlign w:val="top"/>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Borders>
              <w:tl2br w:val="nil"/>
              <w:tr2bl w:val="nil"/>
            </w:tcBorders>
            <w:vAlign w:val="top"/>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Borders>
              <w:tl2br w:val="nil"/>
              <w:tr2bl w:val="nil"/>
            </w:tcBorders>
            <w:vAlign w:val="top"/>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vMerge w:val="continue"/>
            <w:tcBorders>
              <w:tl2br w:val="nil"/>
              <w:tr2bl w:val="nil"/>
            </w:tcBorders>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Borders>
              <w:tl2br w:val="nil"/>
              <w:tr2bl w:val="nil"/>
            </w:tcBorders>
            <w:vAlign w:val="top"/>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tcBorders>
              <w:tl2br w:val="nil"/>
              <w:tr2bl w:val="nil"/>
            </w:tcBorders>
            <w:vAlign w:val="top"/>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Borders>
              <w:tl2br w:val="nil"/>
              <w:tr2bl w:val="nil"/>
            </w:tcBorders>
            <w:vAlign w:val="top"/>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tcBorders>
              <w:tl2br w:val="nil"/>
              <w:tr2bl w:val="nil"/>
            </w:tcBorders>
            <w:vAlign w:val="top"/>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Borders>
              <w:tl2br w:val="nil"/>
              <w:tr2bl w:val="nil"/>
            </w:tcBorders>
            <w:vAlign w:val="top"/>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Borders>
              <w:tl2br w:val="nil"/>
              <w:tr2bl w:val="nil"/>
            </w:tcBorders>
            <w:vAlign w:val="top"/>
          </w:tcPr>
          <w:p>
            <w:pPr>
              <w:spacing w:before="211" w:line="219" w:lineRule="auto"/>
              <w:ind w:firstLine="211" w:firstLineChars="100"/>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5"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5"/>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详细说明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现场指导安装费</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现场指导调试、</w:t>
            </w:r>
            <w:r>
              <w:rPr>
                <w:rFonts w:ascii="宋体" w:hAnsi="宋体" w:eastAsia="宋体" w:cs="宋体"/>
                <w:szCs w:val="21"/>
              </w:rPr>
              <w:t>试车</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3625" w:type="dxa"/>
            <w:vAlign w:val="center"/>
          </w:tcPr>
          <w:p>
            <w:pPr>
              <w:spacing w:before="268" w:line="221" w:lineRule="auto"/>
              <w:jc w:val="center"/>
              <w:rPr>
                <w:rFonts w:hint="eastAsia" w:ascii="宋体" w:hAnsi="宋体" w:eastAsia="宋体" w:cs="宋体"/>
                <w:kern w:val="2"/>
                <w:sz w:val="21"/>
                <w:szCs w:val="21"/>
                <w:lang w:val="en-US" w:eastAsia="zh-CN" w:bidi="ar-SA"/>
              </w:rPr>
            </w:pPr>
            <w:r>
              <w:rPr>
                <w:rFonts w:hint="eastAsia" w:ascii="宋体" w:hAnsi="宋体" w:eastAsia="宋体" w:cs="宋体"/>
                <w:spacing w:val="15"/>
                <w:szCs w:val="21"/>
                <w:lang w:val="en-US" w:eastAsia="zh-CN"/>
              </w:rPr>
              <w:t>设计费</w:t>
            </w:r>
          </w:p>
        </w:tc>
        <w:tc>
          <w:tcPr>
            <w:tcW w:w="1126" w:type="dxa"/>
            <w:vAlign w:val="top"/>
          </w:tcPr>
          <w:p>
            <w:pPr>
              <w:spacing w:before="266" w:line="221" w:lineRule="auto"/>
              <w:jc w:val="center"/>
              <w:rPr>
                <w:rFonts w:hint="default" w:ascii="宋体" w:hAnsi="宋体" w:eastAsia="宋体" w:cs="宋体"/>
                <w:spacing w:val="-2"/>
                <w:kern w:val="2"/>
                <w:sz w:val="21"/>
                <w:szCs w:val="21"/>
                <w:lang w:val="en-US" w:eastAsia="zh-CN" w:bidi="ar-SA"/>
              </w:rPr>
            </w:pP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3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1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6"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5"/>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序号</w:t>
            </w:r>
          </w:p>
        </w:tc>
        <w:tc>
          <w:tcPr>
            <w:tcW w:w="15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5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33"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17"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ascii="宋体" w:hAnsi="宋体" w:eastAsia="宋体" w:cs="宋体"/>
                <w:spacing w:val="-6"/>
                <w:szCs w:val="21"/>
              </w:rPr>
            </w:pPr>
          </w:p>
        </w:tc>
        <w:tc>
          <w:tcPr>
            <w:tcW w:w="4867"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7" w:type="default"/>
          <w:pgSz w:w="16841" w:h="11907"/>
          <w:pgMar w:top="400" w:right="1500" w:bottom="1184" w:left="1480" w:header="0" w:footer="1022" w:gutter="0"/>
          <w:pgBorders>
            <w:top w:val="none" w:sz="0" w:space="0"/>
            <w:left w:val="none" w:sz="0" w:space="0"/>
            <w:bottom w:val="none" w:sz="0" w:space="0"/>
            <w:right w:val="none" w:sz="0" w:space="0"/>
          </w:pgBorders>
          <w:pgNumType w:fmt="decimal"/>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5"/>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容</w:t>
            </w:r>
          </w:p>
        </w:tc>
        <w:tc>
          <w:tcPr>
            <w:tcW w:w="3354" w:type="dxa"/>
          </w:tcPr>
          <w:p>
            <w:pPr>
              <w:spacing w:before="276" w:line="219" w:lineRule="auto"/>
              <w:jc w:val="center"/>
              <w:rPr>
                <w:rFonts w:ascii="宋体" w:hAnsi="宋体" w:eastAsia="宋体" w:cs="宋体"/>
                <w:szCs w:val="21"/>
              </w:rPr>
            </w:pPr>
            <w:r>
              <w:rPr>
                <w:rFonts w:hint="eastAsia" w:ascii="宋体" w:hAnsi="宋体" w:eastAsia="宋体" w:cs="宋体"/>
                <w:spacing w:val="18"/>
                <w:szCs w:val="21"/>
                <w:lang w:val="en-US" w:eastAsia="zh-CN"/>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28" w:type="default"/>
          <w:pgSz w:w="16841" w:h="11907"/>
          <w:pgMar w:top="400" w:right="1699" w:bottom="1168" w:left="1481" w:header="0" w:footer="990" w:gutter="0"/>
          <w:pgBorders>
            <w:top w:val="none" w:sz="0" w:space="0"/>
            <w:left w:val="none" w:sz="0" w:space="0"/>
            <w:bottom w:val="none" w:sz="0" w:space="0"/>
            <w:right w:val="none" w:sz="0" w:space="0"/>
          </w:pgBorders>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hint="eastAsia"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sz w:val="24"/>
          <w:szCs w:val="20"/>
          <w:lang w:val="en-US" w:eastAsia="zh-CN"/>
        </w:rPr>
        <w:t>定值拧紧设备项目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5"/>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29" w:type="default"/>
          <w:pgSz w:w="11906" w:h="16839"/>
          <w:pgMar w:top="1431" w:right="1417" w:bottom="1179" w:left="1304" w:header="850" w:footer="992" w:gutter="0"/>
          <w:pgBorders>
            <w:top w:val="none" w:sz="0" w:space="0"/>
            <w:left w:val="none" w:sz="0" w:space="0"/>
            <w:bottom w:val="none" w:sz="0" w:space="0"/>
            <w:right w:val="none" w:sz="0" w:space="0"/>
          </w:pgBorders>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lang w:val="en-US" w:eastAsia="zh-CN"/>
        </w:rPr>
        <w:t>定值拧紧设备项目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重汽（济南）轻卡有限公司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szCs w:val="20"/>
                <w:lang w:val="en-US" w:eastAsia="zh-CN"/>
              </w:rPr>
              <w:t>定值拧紧设备项目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rPr>
          <w:rFonts w:asciiTheme="minorEastAsia" w:hAnsiTheme="minorEastAsia" w:cstheme="minorEastAsia"/>
          <w:sz w:val="20"/>
          <w:szCs w:val="20"/>
        </w:rPr>
      </w:pPr>
      <w:r>
        <w:rPr>
          <w:rFonts w:asciiTheme="minorEastAsia" w:hAnsiTheme="minorEastAsia" w:cstheme="minorEastAsia"/>
          <w:sz w:val="20"/>
          <w:szCs w:val="20"/>
        </w:rPr>
        <w:br w:type="page"/>
      </w:r>
    </w:p>
    <w:p>
      <w:pPr>
        <w:pStyle w:val="11"/>
        <w:sectPr>
          <w:headerReference r:id="rId31" w:type="first"/>
          <w:footerReference r:id="rId33" w:type="first"/>
          <w:headerReference r:id="rId30" w:type="default"/>
          <w:footerReference r:id="rId32"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pPr>
        <w:jc w:val="center"/>
        <w:outlineLvl w:val="2"/>
        <w:rPr>
          <w:rFonts w:ascii="宋体" w:hAnsi="宋体" w:eastAsia="宋体"/>
          <w:b/>
          <w:bCs/>
          <w:sz w:val="28"/>
          <w:szCs w:val="28"/>
        </w:rPr>
      </w:pPr>
      <w:r>
        <w:rPr>
          <w:rFonts w:hint="eastAsia" w:ascii="宋体" w:hAnsi="宋体" w:eastAsia="宋体"/>
          <w:b/>
          <w:bCs/>
          <w:sz w:val="28"/>
          <w:szCs w:val="28"/>
        </w:rPr>
        <w:t>技术标评审表（100分）</w:t>
      </w:r>
    </w:p>
    <w:tbl>
      <w:tblPr>
        <w:tblStyle w:val="38"/>
        <w:tblW w:w="14129" w:type="dxa"/>
        <w:tblInd w:w="93" w:type="dxa"/>
        <w:tblLayout w:type="autofit"/>
        <w:tblCellMar>
          <w:top w:w="0" w:type="dxa"/>
          <w:left w:w="108" w:type="dxa"/>
          <w:bottom w:w="0" w:type="dxa"/>
          <w:right w:w="108" w:type="dxa"/>
        </w:tblCellMar>
      </w:tblPr>
      <w:tblGrid>
        <w:gridCol w:w="812"/>
        <w:gridCol w:w="650"/>
        <w:gridCol w:w="1961"/>
        <w:gridCol w:w="885"/>
        <w:gridCol w:w="9821"/>
      </w:tblGrid>
      <w:tr>
        <w:tblPrEx>
          <w:tblCellMar>
            <w:top w:w="0" w:type="dxa"/>
            <w:left w:w="108" w:type="dxa"/>
            <w:bottom w:w="0" w:type="dxa"/>
            <w:right w:w="108" w:type="dxa"/>
          </w:tblCellMar>
        </w:tblPrEx>
        <w:trPr>
          <w:trHeight w:val="329" w:hRule="atLeast"/>
        </w:trPr>
        <w:tc>
          <w:tcPr>
            <w:tcW w:w="812" w:type="dxa"/>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lang w:bidi="ar"/>
              </w:rPr>
              <w:t>评价类型</w:t>
            </w:r>
          </w:p>
        </w:tc>
        <w:tc>
          <w:tcPr>
            <w:tcW w:w="650"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lang w:bidi="ar"/>
              </w:rPr>
              <w:t>序号</w:t>
            </w:r>
          </w:p>
        </w:tc>
        <w:tc>
          <w:tcPr>
            <w:tcW w:w="1961"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spacing w:val="315"/>
                <w:kern w:val="0"/>
                <w:fitText w:val="1050" w:id="2058751306"/>
                <w:lang w:bidi="ar"/>
              </w:rPr>
              <w:t>内</w:t>
            </w:r>
            <w:r>
              <w:rPr>
                <w:rStyle w:val="140"/>
                <w:rFonts w:hint="default"/>
                <w:spacing w:val="0"/>
                <w:kern w:val="0"/>
                <w:fitText w:val="1050" w:id="2058751306"/>
                <w:lang w:bidi="ar"/>
              </w:rPr>
              <w:t>容</w:t>
            </w:r>
          </w:p>
        </w:tc>
        <w:tc>
          <w:tcPr>
            <w:tcW w:w="885"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lang w:bidi="ar"/>
              </w:rPr>
              <w:t>标准分</w:t>
            </w:r>
          </w:p>
        </w:tc>
        <w:tc>
          <w:tcPr>
            <w:tcW w:w="9821" w:type="dxa"/>
            <w:tcBorders>
              <w:top w:val="single" w:color="000000" w:sz="8"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lang w:bidi="ar"/>
              </w:rPr>
              <w:t>评分标准</w:t>
            </w:r>
          </w:p>
        </w:tc>
      </w:tr>
      <w:tr>
        <w:tblPrEx>
          <w:tblCellMar>
            <w:top w:w="0" w:type="dxa"/>
            <w:left w:w="108" w:type="dxa"/>
            <w:bottom w:w="0" w:type="dxa"/>
            <w:right w:w="108" w:type="dxa"/>
          </w:tblCellMar>
        </w:tblPrEx>
        <w:trPr>
          <w:trHeight w:val="723" w:hRule="atLeast"/>
        </w:trPr>
        <w:tc>
          <w:tcPr>
            <w:tcW w:w="812" w:type="dxa"/>
            <w:vMerge w:val="restart"/>
            <w:tcBorders>
              <w:top w:val="single" w:color="000000" w:sz="4" w:space="0"/>
              <w:left w:val="single" w:color="000000" w:sz="8"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技术100分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技术方案</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val="en-US" w:eastAsia="zh-CN" w:bidi="ar"/>
              </w:rPr>
              <w:t>4</w:t>
            </w:r>
            <w:r>
              <w:rPr>
                <w:rFonts w:hint="eastAsia" w:ascii="宋体" w:hAnsi="宋体" w:eastAsia="宋体" w:cs="宋体"/>
                <w:color w:val="000000"/>
                <w:kern w:val="0"/>
                <w:szCs w:val="21"/>
                <w:lang w:bidi="ar"/>
              </w:rPr>
              <w:t>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所报产品的技术方案先进，装备制造能力、生产设备、加工工艺先进，各系统完善、性能可靠，设备主要核心部件具备自身技术优势，技术参数优于招标文件要求，视情况优得31-40分，良得21-30分，一般得1-20分。</w:t>
            </w:r>
          </w:p>
        </w:tc>
      </w:tr>
      <w:tr>
        <w:tblPrEx>
          <w:tblCellMar>
            <w:top w:w="0" w:type="dxa"/>
            <w:left w:w="108" w:type="dxa"/>
            <w:bottom w:w="0" w:type="dxa"/>
            <w:right w:w="108" w:type="dxa"/>
          </w:tblCellMar>
        </w:tblPrEx>
        <w:trPr>
          <w:trHeight w:val="90" w:hRule="atLeast"/>
        </w:trPr>
        <w:tc>
          <w:tcPr>
            <w:tcW w:w="812" w:type="dxa"/>
            <w:vMerge w:val="continue"/>
            <w:tcBorders>
              <w:left w:val="single" w:color="000000" w:sz="8"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项目组织及人员</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val="en-US" w:eastAsia="zh-CN" w:bidi="ar"/>
              </w:rPr>
              <w:t>1</w:t>
            </w:r>
            <w:r>
              <w:rPr>
                <w:rFonts w:hint="eastAsia" w:ascii="宋体" w:hAnsi="宋体" w:eastAsia="宋体" w:cs="宋体"/>
                <w:color w:val="000000"/>
                <w:kern w:val="0"/>
                <w:szCs w:val="21"/>
                <w:lang w:bidi="ar"/>
              </w:rPr>
              <w:t>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成立专项小组且职责明确，全流程项目人员经验丰富。根据方案进行综合评审，优得8-10分；良得5-7分；一般得1-4分。</w:t>
            </w:r>
          </w:p>
        </w:tc>
      </w:tr>
      <w:tr>
        <w:tblPrEx>
          <w:tblCellMar>
            <w:top w:w="0" w:type="dxa"/>
            <w:left w:w="108" w:type="dxa"/>
            <w:bottom w:w="0" w:type="dxa"/>
            <w:right w:w="108" w:type="dxa"/>
          </w:tblCellMar>
        </w:tblPrEx>
        <w:trPr>
          <w:trHeight w:val="456" w:hRule="atLeast"/>
        </w:trPr>
        <w:tc>
          <w:tcPr>
            <w:tcW w:w="812" w:type="dxa"/>
            <w:vMerge w:val="continue"/>
            <w:tcBorders>
              <w:left w:val="single" w:color="000000" w:sz="8"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供货周期</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Cs w:val="21"/>
                <w:lang w:val="en-US" w:eastAsia="zh-CN" w:bidi="ar"/>
              </w:rPr>
              <w:t>20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响应供货期和现场停工期基本要求，有详细可行的行动计划能保证项目进度，有风险管理措施；加工、制作方案合理、完善、切实可行能确保安全；能满足交货期者视情况得15-20分；剩余投标方得1-14分。</w:t>
            </w:r>
          </w:p>
        </w:tc>
      </w:tr>
      <w:tr>
        <w:tblPrEx>
          <w:tblCellMar>
            <w:top w:w="0" w:type="dxa"/>
            <w:left w:w="108" w:type="dxa"/>
            <w:bottom w:w="0" w:type="dxa"/>
            <w:right w:w="108" w:type="dxa"/>
          </w:tblCellMar>
        </w:tblPrEx>
        <w:trPr>
          <w:trHeight w:val="304" w:hRule="atLeast"/>
        </w:trPr>
        <w:tc>
          <w:tcPr>
            <w:tcW w:w="812" w:type="dxa"/>
            <w:vMerge w:val="continue"/>
            <w:tcBorders>
              <w:left w:val="single" w:color="000000" w:sz="8"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类似业绩</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bidi="ar"/>
              </w:rPr>
              <w:t>1</w:t>
            </w:r>
            <w:r>
              <w:rPr>
                <w:rFonts w:hint="eastAsia" w:ascii="宋体" w:hAnsi="宋体" w:eastAsia="宋体" w:cs="宋体"/>
                <w:color w:val="000000"/>
                <w:kern w:val="0"/>
                <w:szCs w:val="21"/>
                <w:lang w:val="en-US" w:eastAsia="zh-CN" w:bidi="ar"/>
              </w:rPr>
              <w:t>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近三年国内或国外知名品牌商用车或乘用车供货经历和经验或其他大型供货经历，提供1份投标同类产品开发合同证明材料，得2分，最高得10分。</w:t>
            </w:r>
          </w:p>
        </w:tc>
      </w:tr>
      <w:tr>
        <w:tblPrEx>
          <w:tblCellMar>
            <w:top w:w="0" w:type="dxa"/>
            <w:left w:w="108" w:type="dxa"/>
            <w:bottom w:w="0" w:type="dxa"/>
            <w:right w:w="108" w:type="dxa"/>
          </w:tblCellMar>
        </w:tblPrEx>
        <w:trPr>
          <w:trHeight w:val="90" w:hRule="atLeast"/>
        </w:trPr>
        <w:tc>
          <w:tcPr>
            <w:tcW w:w="812" w:type="dxa"/>
            <w:vMerge w:val="continue"/>
            <w:tcBorders>
              <w:left w:val="single" w:color="000000" w:sz="8"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widowControl/>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质量保障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Cs w:val="21"/>
                <w:lang w:val="en-US" w:eastAsia="zh-CN" w:bidi="ar"/>
              </w:rPr>
              <w:t>10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具有良好的质量管理体系和完备的检测体系，保证提供的产品质量、性能稳定可靠。根据提供的证明资料进行综合评审，优得10分，良得5-9分，一般得1-4分。</w:t>
            </w:r>
          </w:p>
        </w:tc>
      </w:tr>
      <w:tr>
        <w:tblPrEx>
          <w:tblCellMar>
            <w:top w:w="0" w:type="dxa"/>
            <w:left w:w="108" w:type="dxa"/>
            <w:bottom w:w="0" w:type="dxa"/>
            <w:right w:w="108" w:type="dxa"/>
          </w:tblCellMar>
        </w:tblPrEx>
        <w:trPr>
          <w:trHeight w:val="244" w:hRule="atLeast"/>
        </w:trPr>
        <w:tc>
          <w:tcPr>
            <w:tcW w:w="812" w:type="dxa"/>
            <w:vMerge w:val="continue"/>
            <w:tcBorders>
              <w:left w:val="single" w:color="000000" w:sz="8"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6</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widowControl/>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质保期和售后服务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10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根据投标文件中提供的质量保证措施、售后服务方案等的响应情况进行综合评审，优得10分，良5-9分，一般1-4分。</w:t>
            </w:r>
          </w:p>
        </w:tc>
      </w:tr>
    </w:tbl>
    <w:p>
      <w:pPr>
        <w:spacing w:line="240" w:lineRule="auto"/>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技术标80分及以上推荐入围商务标阶段</w:t>
      </w:r>
      <w:r>
        <w:rPr>
          <w:rFonts w:hint="eastAsia" w:ascii="宋体" w:hAnsi="宋体" w:eastAsia="宋体" w:cs="宋体"/>
          <w:color w:val="000000"/>
          <w:sz w:val="24"/>
          <w:szCs w:val="24"/>
        </w:rPr>
        <w:t>，评标过程中必须确保推荐的入围候选中标人，在功能、质量、先进性、业绩等方面均符合招标标准要求。</w:t>
      </w:r>
    </w:p>
    <w:p>
      <w:pPr>
        <w:spacing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pStyle w:val="2"/>
        <w:spacing w:line="240" w:lineRule="auto"/>
        <w:ind w:firstLine="480" w:firstLineChars="200"/>
      </w:pPr>
      <w:r>
        <w:rPr>
          <w:rFonts w:hint="eastAsia" w:ascii="宋体" w:hAnsi="宋体" w:cs="宋体"/>
          <w:b w:val="0"/>
          <w:bCs w:val="0"/>
          <w:color w:val="000000"/>
          <w:szCs w:val="24"/>
        </w:rPr>
        <w:t>c、评标过程中，若出现本办法以外的特殊情况时，将暂停评标，有关情况处理意见待招标工作小组确认后，再行评定。</w:t>
      </w:r>
    </w:p>
    <w:p/>
    <w:p>
      <w:pPr>
        <w:sectPr>
          <w:pgSz w:w="16838" w:h="11906" w:orient="landscape"/>
          <w:pgMar w:top="1417" w:right="1588" w:bottom="1417" w:left="1134" w:header="851" w:footer="992"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附件15</w:t>
      </w:r>
      <w:r>
        <w:rPr>
          <w:rFonts w:hint="eastAsia" w:ascii="宋体" w:hAnsi="宋体" w:eastAsia="宋体" w:cs="宋体"/>
          <w:b/>
          <w:bCs/>
          <w:color w:val="000000"/>
          <w:sz w:val="24"/>
          <w:szCs w:val="24"/>
          <w:lang w:val="en-US" w:eastAsia="zh-CN"/>
        </w:rPr>
        <w:t xml:space="preserve"> SRM非生产供应商注册操作手册</w:t>
      </w:r>
    </w:p>
    <w:p>
      <w:pPr>
        <w:pStyle w:val="17"/>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pPr>
        <w:pStyle w:val="17"/>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17"/>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pStyle w:val="17"/>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pPr>
        <w:pStyle w:val="17"/>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Style w:val="46"/>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46"/>
          <w:rFonts w:hint="eastAsia" w:ascii="宋体" w:hAnsi="宋体" w:eastAsia="宋体" w:cs="宋体"/>
          <w:sz w:val="24"/>
          <w:szCs w:val="24"/>
        </w:rPr>
        <w:fldChar w:fldCharType="begin"/>
      </w:r>
      <w:r>
        <w:rPr>
          <w:rStyle w:val="46"/>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6"/>
          <w:rFonts w:hint="eastAsia" w:ascii="宋体" w:hAnsi="宋体" w:eastAsia="宋体" w:cs="宋体"/>
          <w:sz w:val="24"/>
          <w:szCs w:val="24"/>
        </w:rPr>
        <w:fldChar w:fldCharType="separate"/>
      </w:r>
      <w:r>
        <w:rPr>
          <w:rStyle w:val="46"/>
          <w:rFonts w:hint="eastAsia" w:ascii="宋体" w:hAnsi="宋体" w:eastAsia="宋体" w:cs="宋体"/>
          <w:sz w:val="24"/>
          <w:szCs w:val="24"/>
        </w:rPr>
        <w:t>http://ecaitong.sinotruk.com:8012/</w:t>
      </w:r>
      <w:r>
        <w:rPr>
          <w:rStyle w:val="46"/>
          <w:rFonts w:hint="eastAsia" w:ascii="宋体" w:hAnsi="宋体" w:eastAsia="宋体" w:cs="宋体"/>
          <w:sz w:val="24"/>
          <w:szCs w:val="24"/>
        </w:rPr>
        <w:fldChar w:fldCharType="end"/>
      </w:r>
      <w:r>
        <w:rPr>
          <w:rStyle w:val="46"/>
          <w:rFonts w:hint="eastAsia" w:ascii="宋体" w:hAnsi="宋体" w:eastAsia="宋体" w:cs="宋体"/>
          <w:sz w:val="24"/>
          <w:szCs w:val="24"/>
          <w:lang w:eastAsia="zh-CN"/>
        </w:rPr>
        <w:t>（</w:t>
      </w:r>
      <w:r>
        <w:rPr>
          <w:rStyle w:val="46"/>
          <w:rFonts w:hint="eastAsia" w:ascii="宋体" w:hAnsi="宋体" w:eastAsia="宋体" w:cs="宋体"/>
          <w:sz w:val="24"/>
          <w:szCs w:val="24"/>
          <w:lang w:val="en-US" w:eastAsia="zh-CN"/>
        </w:rPr>
        <w:t>以下内容可能非最新版本，仅供参考，请登录系统网址后，点检查看最新版供应商手册</w:t>
      </w:r>
      <w:r>
        <w:rPr>
          <w:rStyle w:val="46"/>
          <w:rFonts w:hint="eastAsia" w:ascii="宋体" w:hAnsi="宋体" w:eastAsia="宋体" w:cs="宋体"/>
          <w:sz w:val="24"/>
          <w:szCs w:val="24"/>
          <w:lang w:eastAsia="zh-CN"/>
        </w:rPr>
        <w:t>）</w:t>
      </w:r>
    </w:p>
    <w:p>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pPr>
        <w:pStyle w:val="17"/>
      </w:pP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9"/>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57</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58</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59</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60</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3</w:t>
                    </w:r>
                    <w:r>
                      <w:fldChar w:fldCharType="end"/>
                    </w:r>
                  </w:p>
                </w:txbxContent>
              </v:textbox>
            </v:shape>
          </w:pict>
        </mc:Fallback>
      </mc:AlternateContent>
    </w: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5E6C440B"/>
    <w:multiLevelType w:val="singleLevel"/>
    <w:tmpl w:val="5E6C440B"/>
    <w:lvl w:ilvl="0" w:tentative="0">
      <w:start w:val="1"/>
      <w:numFmt w:val="decimal"/>
      <w:lvlText w:val="%1)"/>
      <w:lvlJc w:val="left"/>
      <w:pPr>
        <w:ind w:left="425" w:hanging="425"/>
      </w:pPr>
      <w:rPr>
        <w:rFonts w:hint="default"/>
      </w:rPr>
    </w:lvl>
  </w:abstractNum>
  <w:abstractNum w:abstractNumId="8">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05"/>
      <w:suff w:val="nothing"/>
      <w:lvlText w:val="%1%2　"/>
      <w:lvlJc w:val="left"/>
      <w:pPr>
        <w:ind w:left="0" w:firstLine="0"/>
      </w:pPr>
      <w:rPr>
        <w:rFonts w:hint="eastAsia" w:ascii="黑体" w:hAnsi="Times New Roman" w:eastAsia="黑体"/>
        <w:b w:val="0"/>
        <w:i w:val="0"/>
        <w:sz w:val="21"/>
      </w:rPr>
    </w:lvl>
    <w:lvl w:ilvl="2" w:tentative="0">
      <w:start w:val="1"/>
      <w:numFmt w:val="decimal"/>
      <w:pStyle w:val="110"/>
      <w:suff w:val="nothing"/>
      <w:lvlText w:val="%1%2.%3　"/>
      <w:lvlJc w:val="left"/>
      <w:pPr>
        <w:ind w:left="2552" w:firstLine="0"/>
      </w:pPr>
      <w:rPr>
        <w:rFonts w:hint="eastAsia" w:ascii="黑体" w:hAnsi="Times New Roman" w:eastAsia="黑体"/>
        <w:b w:val="0"/>
        <w:i w:val="0"/>
        <w:sz w:val="21"/>
      </w:rPr>
    </w:lvl>
    <w:lvl w:ilvl="3" w:tentative="0">
      <w:start w:val="1"/>
      <w:numFmt w:val="decimal"/>
      <w:pStyle w:val="150"/>
      <w:suff w:val="nothing"/>
      <w:lvlText w:val="%1%2.%3.%4　"/>
      <w:lvlJc w:val="left"/>
      <w:pPr>
        <w:ind w:left="3827" w:firstLine="0"/>
      </w:pPr>
      <w:rPr>
        <w:rFonts w:hint="eastAsia" w:ascii="黑体" w:hAnsi="Times New Roman" w:eastAsia="黑体"/>
        <w:b w:val="0"/>
        <w:i w:val="0"/>
        <w:sz w:val="21"/>
      </w:rPr>
    </w:lvl>
    <w:lvl w:ilvl="4" w:tentative="0">
      <w:start w:val="1"/>
      <w:numFmt w:val="decimal"/>
      <w:pStyle w:val="151"/>
      <w:suff w:val="nothing"/>
      <w:lvlText w:val="%1%2.%3.%4.%5　"/>
      <w:lvlJc w:val="left"/>
      <w:pPr>
        <w:ind w:left="708"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9"/>
  </w:num>
  <w:num w:numId="3">
    <w:abstractNumId w:val="0"/>
  </w:num>
  <w:num w:numId="4">
    <w:abstractNumId w:val="10"/>
  </w:num>
  <w:num w:numId="5">
    <w:abstractNumId w:val="4"/>
  </w:num>
  <w:num w:numId="6">
    <w:abstractNumId w:val="2"/>
  </w:num>
  <w:num w:numId="7">
    <w:abstractNumId w:val="6"/>
  </w:num>
  <w:num w:numId="8">
    <w:abstractNumId w:val="1"/>
  </w:num>
  <w:num w:numId="9">
    <w:abstractNumId w:val="5"/>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3MjRkZTcwNjVhMmUwMDJjMWUwZGM1M2I0MzhjMzgifQ=="/>
  </w:docVars>
  <w:rsids>
    <w:rsidRoot w:val="00172A27"/>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A51B4"/>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042CD0"/>
    <w:rsid w:val="0147778C"/>
    <w:rsid w:val="014832F2"/>
    <w:rsid w:val="014D51C1"/>
    <w:rsid w:val="01714809"/>
    <w:rsid w:val="01C52478"/>
    <w:rsid w:val="027408EE"/>
    <w:rsid w:val="02963F39"/>
    <w:rsid w:val="02B3095A"/>
    <w:rsid w:val="02BA7274"/>
    <w:rsid w:val="03251978"/>
    <w:rsid w:val="0325718A"/>
    <w:rsid w:val="042921B6"/>
    <w:rsid w:val="043B72BB"/>
    <w:rsid w:val="04461EC1"/>
    <w:rsid w:val="04504B3F"/>
    <w:rsid w:val="04AD02B8"/>
    <w:rsid w:val="04B944C7"/>
    <w:rsid w:val="04DE51C8"/>
    <w:rsid w:val="04DF17D4"/>
    <w:rsid w:val="05412745"/>
    <w:rsid w:val="05491761"/>
    <w:rsid w:val="05A351AD"/>
    <w:rsid w:val="05F9748A"/>
    <w:rsid w:val="06266F78"/>
    <w:rsid w:val="063E7B7A"/>
    <w:rsid w:val="06582413"/>
    <w:rsid w:val="067E33B8"/>
    <w:rsid w:val="06E82FCB"/>
    <w:rsid w:val="06F34B95"/>
    <w:rsid w:val="06F7755F"/>
    <w:rsid w:val="07571DAC"/>
    <w:rsid w:val="07797C0B"/>
    <w:rsid w:val="077E4EA5"/>
    <w:rsid w:val="07AB20F7"/>
    <w:rsid w:val="08186171"/>
    <w:rsid w:val="08590488"/>
    <w:rsid w:val="08803584"/>
    <w:rsid w:val="08DB07BA"/>
    <w:rsid w:val="08DD171B"/>
    <w:rsid w:val="08E64121"/>
    <w:rsid w:val="0942017F"/>
    <w:rsid w:val="09601E23"/>
    <w:rsid w:val="09A36273"/>
    <w:rsid w:val="09BA1FBB"/>
    <w:rsid w:val="09CB139F"/>
    <w:rsid w:val="0A0106F5"/>
    <w:rsid w:val="0A112AB7"/>
    <w:rsid w:val="0A886720"/>
    <w:rsid w:val="0A977BEE"/>
    <w:rsid w:val="0AAA504A"/>
    <w:rsid w:val="0AD71BC7"/>
    <w:rsid w:val="0AF420EB"/>
    <w:rsid w:val="0B2B2BF5"/>
    <w:rsid w:val="0B2F3908"/>
    <w:rsid w:val="0B3F6206"/>
    <w:rsid w:val="0B9C3F94"/>
    <w:rsid w:val="0BE12DB6"/>
    <w:rsid w:val="0BFC6504"/>
    <w:rsid w:val="0C345AD1"/>
    <w:rsid w:val="0C626CE4"/>
    <w:rsid w:val="0D0C2B7B"/>
    <w:rsid w:val="0D103128"/>
    <w:rsid w:val="0D9308F8"/>
    <w:rsid w:val="0DE76C3D"/>
    <w:rsid w:val="0E083E00"/>
    <w:rsid w:val="0E1A1D85"/>
    <w:rsid w:val="0E750568"/>
    <w:rsid w:val="0E9C3C97"/>
    <w:rsid w:val="0F2D7A80"/>
    <w:rsid w:val="0F4277E5"/>
    <w:rsid w:val="0FA75561"/>
    <w:rsid w:val="0FB83603"/>
    <w:rsid w:val="0FCA77F1"/>
    <w:rsid w:val="0FCD5DCC"/>
    <w:rsid w:val="10043197"/>
    <w:rsid w:val="101E1EA5"/>
    <w:rsid w:val="10270545"/>
    <w:rsid w:val="1032785A"/>
    <w:rsid w:val="103409DF"/>
    <w:rsid w:val="108A1D4B"/>
    <w:rsid w:val="10A10111"/>
    <w:rsid w:val="10BE093E"/>
    <w:rsid w:val="10E20BD8"/>
    <w:rsid w:val="111B0FE9"/>
    <w:rsid w:val="111E54BC"/>
    <w:rsid w:val="112C77F4"/>
    <w:rsid w:val="115F67A8"/>
    <w:rsid w:val="116339A6"/>
    <w:rsid w:val="119A7465"/>
    <w:rsid w:val="11C07DA5"/>
    <w:rsid w:val="11C2491E"/>
    <w:rsid w:val="11F36B75"/>
    <w:rsid w:val="12481156"/>
    <w:rsid w:val="12491386"/>
    <w:rsid w:val="12541D09"/>
    <w:rsid w:val="128807D2"/>
    <w:rsid w:val="12E60579"/>
    <w:rsid w:val="12EB0F02"/>
    <w:rsid w:val="13355458"/>
    <w:rsid w:val="13695B36"/>
    <w:rsid w:val="1372609F"/>
    <w:rsid w:val="13D50C28"/>
    <w:rsid w:val="13D73572"/>
    <w:rsid w:val="144363D4"/>
    <w:rsid w:val="14504752"/>
    <w:rsid w:val="145A6A37"/>
    <w:rsid w:val="1467440F"/>
    <w:rsid w:val="14B60A59"/>
    <w:rsid w:val="15400323"/>
    <w:rsid w:val="15433A9B"/>
    <w:rsid w:val="15FC2F04"/>
    <w:rsid w:val="16181FAC"/>
    <w:rsid w:val="16781D3E"/>
    <w:rsid w:val="168756A0"/>
    <w:rsid w:val="16DE4BFF"/>
    <w:rsid w:val="16E75D5E"/>
    <w:rsid w:val="16F94849"/>
    <w:rsid w:val="16FF13AD"/>
    <w:rsid w:val="17045E51"/>
    <w:rsid w:val="172011D4"/>
    <w:rsid w:val="17252C3B"/>
    <w:rsid w:val="173F0A2E"/>
    <w:rsid w:val="17770BC2"/>
    <w:rsid w:val="17860E2F"/>
    <w:rsid w:val="17A119AA"/>
    <w:rsid w:val="18586F2B"/>
    <w:rsid w:val="18B518DD"/>
    <w:rsid w:val="19A4034B"/>
    <w:rsid w:val="19A766B9"/>
    <w:rsid w:val="19CE76BA"/>
    <w:rsid w:val="19D11E91"/>
    <w:rsid w:val="19F26070"/>
    <w:rsid w:val="19F97C8B"/>
    <w:rsid w:val="1A1523CE"/>
    <w:rsid w:val="1A1E139B"/>
    <w:rsid w:val="1A3366A8"/>
    <w:rsid w:val="1A6119E3"/>
    <w:rsid w:val="1AA730BD"/>
    <w:rsid w:val="1B333D5D"/>
    <w:rsid w:val="1B587618"/>
    <w:rsid w:val="1B5F19C7"/>
    <w:rsid w:val="1B6B0FE4"/>
    <w:rsid w:val="1B774356"/>
    <w:rsid w:val="1C1C709B"/>
    <w:rsid w:val="1C4F6795"/>
    <w:rsid w:val="1C9F6814"/>
    <w:rsid w:val="1CA23671"/>
    <w:rsid w:val="1CF70D48"/>
    <w:rsid w:val="1D5C514E"/>
    <w:rsid w:val="1D865D14"/>
    <w:rsid w:val="1D8705EC"/>
    <w:rsid w:val="1DA90A2F"/>
    <w:rsid w:val="1DBC5610"/>
    <w:rsid w:val="1E43150B"/>
    <w:rsid w:val="1EA93E80"/>
    <w:rsid w:val="1ED33FB6"/>
    <w:rsid w:val="1EE81332"/>
    <w:rsid w:val="1F32415A"/>
    <w:rsid w:val="1F542F9A"/>
    <w:rsid w:val="1F702632"/>
    <w:rsid w:val="1F7D1043"/>
    <w:rsid w:val="1F7E2174"/>
    <w:rsid w:val="1FBC5CBE"/>
    <w:rsid w:val="20107567"/>
    <w:rsid w:val="20AB56C6"/>
    <w:rsid w:val="20CF7C34"/>
    <w:rsid w:val="21547789"/>
    <w:rsid w:val="2176507C"/>
    <w:rsid w:val="21BE35AF"/>
    <w:rsid w:val="21C11174"/>
    <w:rsid w:val="220D732D"/>
    <w:rsid w:val="22244B28"/>
    <w:rsid w:val="22336619"/>
    <w:rsid w:val="22467FD4"/>
    <w:rsid w:val="226A1E07"/>
    <w:rsid w:val="229451FD"/>
    <w:rsid w:val="22A12DB6"/>
    <w:rsid w:val="230C7A96"/>
    <w:rsid w:val="236356D1"/>
    <w:rsid w:val="23A91C83"/>
    <w:rsid w:val="23C962E8"/>
    <w:rsid w:val="246D6790"/>
    <w:rsid w:val="247E4FED"/>
    <w:rsid w:val="24AD78E0"/>
    <w:rsid w:val="24B30BE8"/>
    <w:rsid w:val="24B959FC"/>
    <w:rsid w:val="24E34060"/>
    <w:rsid w:val="253A0491"/>
    <w:rsid w:val="25E036B2"/>
    <w:rsid w:val="25E9082A"/>
    <w:rsid w:val="25F42473"/>
    <w:rsid w:val="26AF2D79"/>
    <w:rsid w:val="26B34B91"/>
    <w:rsid w:val="270D66E8"/>
    <w:rsid w:val="271460F5"/>
    <w:rsid w:val="27180043"/>
    <w:rsid w:val="27514612"/>
    <w:rsid w:val="278B0DAB"/>
    <w:rsid w:val="279C6B0E"/>
    <w:rsid w:val="27A64735"/>
    <w:rsid w:val="27CC4DF2"/>
    <w:rsid w:val="281864F2"/>
    <w:rsid w:val="283F41FE"/>
    <w:rsid w:val="286903EF"/>
    <w:rsid w:val="287F5DD3"/>
    <w:rsid w:val="288047CB"/>
    <w:rsid w:val="289C366A"/>
    <w:rsid w:val="289E62FA"/>
    <w:rsid w:val="28FD6E90"/>
    <w:rsid w:val="291E2CA6"/>
    <w:rsid w:val="29331862"/>
    <w:rsid w:val="293C4426"/>
    <w:rsid w:val="299741EC"/>
    <w:rsid w:val="299E147F"/>
    <w:rsid w:val="29C32A87"/>
    <w:rsid w:val="29CF26DC"/>
    <w:rsid w:val="2A0151A8"/>
    <w:rsid w:val="2A1C5DA0"/>
    <w:rsid w:val="2A200D39"/>
    <w:rsid w:val="2A507EFF"/>
    <w:rsid w:val="2ADC05A4"/>
    <w:rsid w:val="2AEF2177"/>
    <w:rsid w:val="2B6F0D7F"/>
    <w:rsid w:val="2B8716BD"/>
    <w:rsid w:val="2B8B76FF"/>
    <w:rsid w:val="2BD5034F"/>
    <w:rsid w:val="2BFA123F"/>
    <w:rsid w:val="2C4F1B9F"/>
    <w:rsid w:val="2D025012"/>
    <w:rsid w:val="2D355E3C"/>
    <w:rsid w:val="2D3725E1"/>
    <w:rsid w:val="2D4178F0"/>
    <w:rsid w:val="2DAE631A"/>
    <w:rsid w:val="2DD877E0"/>
    <w:rsid w:val="2DE616C9"/>
    <w:rsid w:val="2DFC2451"/>
    <w:rsid w:val="2E3422F8"/>
    <w:rsid w:val="2E6E566D"/>
    <w:rsid w:val="2E7F188E"/>
    <w:rsid w:val="2E8F1410"/>
    <w:rsid w:val="2EA414CB"/>
    <w:rsid w:val="2EBC0905"/>
    <w:rsid w:val="2EC73739"/>
    <w:rsid w:val="2ED62709"/>
    <w:rsid w:val="2EFB1B0E"/>
    <w:rsid w:val="2F5C684F"/>
    <w:rsid w:val="2FA21EAE"/>
    <w:rsid w:val="307776D1"/>
    <w:rsid w:val="30862574"/>
    <w:rsid w:val="30A30315"/>
    <w:rsid w:val="30B631E1"/>
    <w:rsid w:val="311933AA"/>
    <w:rsid w:val="3135465C"/>
    <w:rsid w:val="317D15BB"/>
    <w:rsid w:val="31D07E6C"/>
    <w:rsid w:val="322C6574"/>
    <w:rsid w:val="323F65DA"/>
    <w:rsid w:val="32412074"/>
    <w:rsid w:val="32515B4E"/>
    <w:rsid w:val="32BB6DE3"/>
    <w:rsid w:val="32DE0199"/>
    <w:rsid w:val="333C2963"/>
    <w:rsid w:val="335B2774"/>
    <w:rsid w:val="33613647"/>
    <w:rsid w:val="33A4642E"/>
    <w:rsid w:val="33C63C91"/>
    <w:rsid w:val="33D10FB5"/>
    <w:rsid w:val="33D4039C"/>
    <w:rsid w:val="33D47E05"/>
    <w:rsid w:val="3413677D"/>
    <w:rsid w:val="342B544B"/>
    <w:rsid w:val="345E036E"/>
    <w:rsid w:val="346911EC"/>
    <w:rsid w:val="34C47852"/>
    <w:rsid w:val="34D81ECE"/>
    <w:rsid w:val="34DE1E4F"/>
    <w:rsid w:val="34F07DB1"/>
    <w:rsid w:val="35640551"/>
    <w:rsid w:val="359009FB"/>
    <w:rsid w:val="35A01173"/>
    <w:rsid w:val="35D354B8"/>
    <w:rsid w:val="35D4025C"/>
    <w:rsid w:val="362666BC"/>
    <w:rsid w:val="368A6B11"/>
    <w:rsid w:val="37085B1F"/>
    <w:rsid w:val="372E04CB"/>
    <w:rsid w:val="38E070F2"/>
    <w:rsid w:val="390D33AB"/>
    <w:rsid w:val="391E6D06"/>
    <w:rsid w:val="3A074847"/>
    <w:rsid w:val="3A830B2E"/>
    <w:rsid w:val="3AA90FE6"/>
    <w:rsid w:val="3AA9318F"/>
    <w:rsid w:val="3AB62DA0"/>
    <w:rsid w:val="3B0A330F"/>
    <w:rsid w:val="3B196D9D"/>
    <w:rsid w:val="3B351E28"/>
    <w:rsid w:val="3B427E5C"/>
    <w:rsid w:val="3B585B17"/>
    <w:rsid w:val="3B7D3FD5"/>
    <w:rsid w:val="3B823DDF"/>
    <w:rsid w:val="3B914B85"/>
    <w:rsid w:val="3B9B59E2"/>
    <w:rsid w:val="3BD827B4"/>
    <w:rsid w:val="3C237ED3"/>
    <w:rsid w:val="3CAA596A"/>
    <w:rsid w:val="3CAF1D22"/>
    <w:rsid w:val="3CB1587B"/>
    <w:rsid w:val="3CB735F2"/>
    <w:rsid w:val="3D186684"/>
    <w:rsid w:val="3D363C36"/>
    <w:rsid w:val="3D6C08E2"/>
    <w:rsid w:val="3D8B2178"/>
    <w:rsid w:val="3DB34909"/>
    <w:rsid w:val="3DD115F5"/>
    <w:rsid w:val="3DE435F0"/>
    <w:rsid w:val="3DE5122C"/>
    <w:rsid w:val="3DF37E53"/>
    <w:rsid w:val="3E740EBA"/>
    <w:rsid w:val="3EC86B10"/>
    <w:rsid w:val="3ED26DE9"/>
    <w:rsid w:val="3EED17D0"/>
    <w:rsid w:val="3F0C0304"/>
    <w:rsid w:val="3F774839"/>
    <w:rsid w:val="3FEC147E"/>
    <w:rsid w:val="40376375"/>
    <w:rsid w:val="40D70587"/>
    <w:rsid w:val="412732B7"/>
    <w:rsid w:val="4127791F"/>
    <w:rsid w:val="41281794"/>
    <w:rsid w:val="413C1FDF"/>
    <w:rsid w:val="416D399E"/>
    <w:rsid w:val="417A65A3"/>
    <w:rsid w:val="41806A69"/>
    <w:rsid w:val="41B0259C"/>
    <w:rsid w:val="41BC6F1C"/>
    <w:rsid w:val="41C46001"/>
    <w:rsid w:val="41EF2363"/>
    <w:rsid w:val="41F77860"/>
    <w:rsid w:val="424A4B98"/>
    <w:rsid w:val="42581D3A"/>
    <w:rsid w:val="42ED2EA4"/>
    <w:rsid w:val="42F6649D"/>
    <w:rsid w:val="42FE0080"/>
    <w:rsid w:val="43315D2E"/>
    <w:rsid w:val="43670C99"/>
    <w:rsid w:val="43824A1C"/>
    <w:rsid w:val="43D110E1"/>
    <w:rsid w:val="43E873C9"/>
    <w:rsid w:val="44122909"/>
    <w:rsid w:val="44905B1F"/>
    <w:rsid w:val="44A85002"/>
    <w:rsid w:val="45316885"/>
    <w:rsid w:val="45A95EE9"/>
    <w:rsid w:val="45EF1E33"/>
    <w:rsid w:val="45FB0F21"/>
    <w:rsid w:val="46167166"/>
    <w:rsid w:val="4636719A"/>
    <w:rsid w:val="46DC2BD2"/>
    <w:rsid w:val="47200EE3"/>
    <w:rsid w:val="47435AC2"/>
    <w:rsid w:val="47457828"/>
    <w:rsid w:val="47544B78"/>
    <w:rsid w:val="47587AF7"/>
    <w:rsid w:val="47745A86"/>
    <w:rsid w:val="477B2160"/>
    <w:rsid w:val="47E239AC"/>
    <w:rsid w:val="47F72214"/>
    <w:rsid w:val="480F4B73"/>
    <w:rsid w:val="48DB38E3"/>
    <w:rsid w:val="49001B5E"/>
    <w:rsid w:val="49376DB0"/>
    <w:rsid w:val="496271AF"/>
    <w:rsid w:val="49804BB7"/>
    <w:rsid w:val="49826DCB"/>
    <w:rsid w:val="499013E7"/>
    <w:rsid w:val="49C13AB5"/>
    <w:rsid w:val="49C8088A"/>
    <w:rsid w:val="4A301C93"/>
    <w:rsid w:val="4A3302AB"/>
    <w:rsid w:val="4A7B537E"/>
    <w:rsid w:val="4AC85D49"/>
    <w:rsid w:val="4AE308A9"/>
    <w:rsid w:val="4B260F2D"/>
    <w:rsid w:val="4B2E418D"/>
    <w:rsid w:val="4B4F20F9"/>
    <w:rsid w:val="4B9A1456"/>
    <w:rsid w:val="4BA32C82"/>
    <w:rsid w:val="4BD022FD"/>
    <w:rsid w:val="4BE70627"/>
    <w:rsid w:val="4C0A5AE1"/>
    <w:rsid w:val="4C130AB8"/>
    <w:rsid w:val="4C5A284D"/>
    <w:rsid w:val="4C5C0673"/>
    <w:rsid w:val="4CB96B43"/>
    <w:rsid w:val="4CC410A6"/>
    <w:rsid w:val="4CC75FCC"/>
    <w:rsid w:val="4CC87A5E"/>
    <w:rsid w:val="4CD63947"/>
    <w:rsid w:val="4CFC49F4"/>
    <w:rsid w:val="4D073D73"/>
    <w:rsid w:val="4D1E27BA"/>
    <w:rsid w:val="4D23574A"/>
    <w:rsid w:val="4D4C4DB0"/>
    <w:rsid w:val="4D7322D5"/>
    <w:rsid w:val="4DD7034C"/>
    <w:rsid w:val="4DE312CB"/>
    <w:rsid w:val="4DF5318E"/>
    <w:rsid w:val="4E1F4862"/>
    <w:rsid w:val="4E2E4393"/>
    <w:rsid w:val="4E35690B"/>
    <w:rsid w:val="4E535EF2"/>
    <w:rsid w:val="4F08773C"/>
    <w:rsid w:val="4F1638C7"/>
    <w:rsid w:val="4F31409F"/>
    <w:rsid w:val="4F5E670E"/>
    <w:rsid w:val="4F846A83"/>
    <w:rsid w:val="4FC0482A"/>
    <w:rsid w:val="50070E2C"/>
    <w:rsid w:val="501112F3"/>
    <w:rsid w:val="504B57F2"/>
    <w:rsid w:val="505162C9"/>
    <w:rsid w:val="507619E1"/>
    <w:rsid w:val="50C62BC7"/>
    <w:rsid w:val="50F72A66"/>
    <w:rsid w:val="5123368C"/>
    <w:rsid w:val="5130747C"/>
    <w:rsid w:val="515C765A"/>
    <w:rsid w:val="51905BB3"/>
    <w:rsid w:val="51946FCB"/>
    <w:rsid w:val="51DD796B"/>
    <w:rsid w:val="51DF373B"/>
    <w:rsid w:val="51E95740"/>
    <w:rsid w:val="51EB2DE9"/>
    <w:rsid w:val="52D970E6"/>
    <w:rsid w:val="52EF4CB5"/>
    <w:rsid w:val="52F959F0"/>
    <w:rsid w:val="5302488E"/>
    <w:rsid w:val="53136173"/>
    <w:rsid w:val="534B12B7"/>
    <w:rsid w:val="539A4AC7"/>
    <w:rsid w:val="542631B6"/>
    <w:rsid w:val="5447483C"/>
    <w:rsid w:val="544E58B1"/>
    <w:rsid w:val="54785EAD"/>
    <w:rsid w:val="54942CAE"/>
    <w:rsid w:val="549C03CB"/>
    <w:rsid w:val="54A61722"/>
    <w:rsid w:val="54B31FAF"/>
    <w:rsid w:val="55326D63"/>
    <w:rsid w:val="555D1A10"/>
    <w:rsid w:val="56356D29"/>
    <w:rsid w:val="56A20EA8"/>
    <w:rsid w:val="56AC4A78"/>
    <w:rsid w:val="56DB16B9"/>
    <w:rsid w:val="570A3D11"/>
    <w:rsid w:val="577A3463"/>
    <w:rsid w:val="57C77E54"/>
    <w:rsid w:val="57E36310"/>
    <w:rsid w:val="57F967AD"/>
    <w:rsid w:val="58052975"/>
    <w:rsid w:val="584D1A65"/>
    <w:rsid w:val="584F5C44"/>
    <w:rsid w:val="588C0756"/>
    <w:rsid w:val="58E525CA"/>
    <w:rsid w:val="593D045A"/>
    <w:rsid w:val="5960739E"/>
    <w:rsid w:val="59896D0A"/>
    <w:rsid w:val="59B72684"/>
    <w:rsid w:val="59E0527F"/>
    <w:rsid w:val="5A421A14"/>
    <w:rsid w:val="5A9579AE"/>
    <w:rsid w:val="5AB012D9"/>
    <w:rsid w:val="5AC468CD"/>
    <w:rsid w:val="5AD1015E"/>
    <w:rsid w:val="5B342B9A"/>
    <w:rsid w:val="5B5953B0"/>
    <w:rsid w:val="5B5F03A4"/>
    <w:rsid w:val="5B630802"/>
    <w:rsid w:val="5B644229"/>
    <w:rsid w:val="5B807F68"/>
    <w:rsid w:val="5BA72CE5"/>
    <w:rsid w:val="5C034D53"/>
    <w:rsid w:val="5C1765AF"/>
    <w:rsid w:val="5E1D6F56"/>
    <w:rsid w:val="5E52187F"/>
    <w:rsid w:val="5E6A13CD"/>
    <w:rsid w:val="5E705D15"/>
    <w:rsid w:val="5E93326C"/>
    <w:rsid w:val="5E9F1A7A"/>
    <w:rsid w:val="5EFB4BA4"/>
    <w:rsid w:val="5F025452"/>
    <w:rsid w:val="5F490D33"/>
    <w:rsid w:val="5F5426EE"/>
    <w:rsid w:val="5F5F46B5"/>
    <w:rsid w:val="5FB25360"/>
    <w:rsid w:val="5FBA3CC0"/>
    <w:rsid w:val="5FD90D61"/>
    <w:rsid w:val="60177697"/>
    <w:rsid w:val="602329DB"/>
    <w:rsid w:val="607777D6"/>
    <w:rsid w:val="60BC76A1"/>
    <w:rsid w:val="60C35C7A"/>
    <w:rsid w:val="610B7637"/>
    <w:rsid w:val="612279BA"/>
    <w:rsid w:val="615F5624"/>
    <w:rsid w:val="61C25AC1"/>
    <w:rsid w:val="61D215CF"/>
    <w:rsid w:val="625C563D"/>
    <w:rsid w:val="626A1704"/>
    <w:rsid w:val="627921C2"/>
    <w:rsid w:val="62B362C8"/>
    <w:rsid w:val="62C1330E"/>
    <w:rsid w:val="62FF2DF2"/>
    <w:rsid w:val="6342085E"/>
    <w:rsid w:val="636F415C"/>
    <w:rsid w:val="639037F0"/>
    <w:rsid w:val="644F33DD"/>
    <w:rsid w:val="646126CB"/>
    <w:rsid w:val="648B3FB8"/>
    <w:rsid w:val="64917820"/>
    <w:rsid w:val="64AA1CC5"/>
    <w:rsid w:val="6528341F"/>
    <w:rsid w:val="652A557F"/>
    <w:rsid w:val="656B2909"/>
    <w:rsid w:val="65A3045D"/>
    <w:rsid w:val="65D97752"/>
    <w:rsid w:val="65E25E59"/>
    <w:rsid w:val="66307F76"/>
    <w:rsid w:val="66580EAF"/>
    <w:rsid w:val="66694D0D"/>
    <w:rsid w:val="667B4472"/>
    <w:rsid w:val="66F041A8"/>
    <w:rsid w:val="670C7632"/>
    <w:rsid w:val="6721178A"/>
    <w:rsid w:val="6739399A"/>
    <w:rsid w:val="673F39DE"/>
    <w:rsid w:val="674C5D22"/>
    <w:rsid w:val="67663AF8"/>
    <w:rsid w:val="67762CFD"/>
    <w:rsid w:val="677A678D"/>
    <w:rsid w:val="679847C2"/>
    <w:rsid w:val="67CF7349"/>
    <w:rsid w:val="68011379"/>
    <w:rsid w:val="68252C37"/>
    <w:rsid w:val="68817BAC"/>
    <w:rsid w:val="689A5E59"/>
    <w:rsid w:val="68A11FFC"/>
    <w:rsid w:val="68A13DAA"/>
    <w:rsid w:val="68A94E70"/>
    <w:rsid w:val="68EE72DF"/>
    <w:rsid w:val="69450BD9"/>
    <w:rsid w:val="69485FEA"/>
    <w:rsid w:val="69677DC0"/>
    <w:rsid w:val="69937EC7"/>
    <w:rsid w:val="69D64558"/>
    <w:rsid w:val="6A042548"/>
    <w:rsid w:val="6A471EFD"/>
    <w:rsid w:val="6AB57116"/>
    <w:rsid w:val="6B17424A"/>
    <w:rsid w:val="6B2218FA"/>
    <w:rsid w:val="6B686C59"/>
    <w:rsid w:val="6B691672"/>
    <w:rsid w:val="6BE97F42"/>
    <w:rsid w:val="6BEE7306"/>
    <w:rsid w:val="6BF07522"/>
    <w:rsid w:val="6C3F3CAC"/>
    <w:rsid w:val="6C517895"/>
    <w:rsid w:val="6C5E6A51"/>
    <w:rsid w:val="6C6513C3"/>
    <w:rsid w:val="6C744268"/>
    <w:rsid w:val="6C913746"/>
    <w:rsid w:val="6CD62D03"/>
    <w:rsid w:val="6CD97FB6"/>
    <w:rsid w:val="6D0E5050"/>
    <w:rsid w:val="6D4B22B8"/>
    <w:rsid w:val="6D930013"/>
    <w:rsid w:val="6E1A1656"/>
    <w:rsid w:val="6E231DD6"/>
    <w:rsid w:val="6E2A4841"/>
    <w:rsid w:val="6E3F2AAB"/>
    <w:rsid w:val="6E5A5288"/>
    <w:rsid w:val="6E9F108C"/>
    <w:rsid w:val="6EE013EE"/>
    <w:rsid w:val="6EE079F1"/>
    <w:rsid w:val="6EE42C42"/>
    <w:rsid w:val="6F437969"/>
    <w:rsid w:val="6F7F7CB0"/>
    <w:rsid w:val="6FA052B9"/>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05184D"/>
    <w:rsid w:val="722922C6"/>
    <w:rsid w:val="72477770"/>
    <w:rsid w:val="72B8066E"/>
    <w:rsid w:val="72B9542A"/>
    <w:rsid w:val="72CB03A1"/>
    <w:rsid w:val="732D4B5D"/>
    <w:rsid w:val="73393C88"/>
    <w:rsid w:val="735B02C3"/>
    <w:rsid w:val="7362513F"/>
    <w:rsid w:val="73771D49"/>
    <w:rsid w:val="73A1354E"/>
    <w:rsid w:val="73C8383A"/>
    <w:rsid w:val="74357964"/>
    <w:rsid w:val="746E5488"/>
    <w:rsid w:val="74A11E7D"/>
    <w:rsid w:val="74DD6078"/>
    <w:rsid w:val="75590B0A"/>
    <w:rsid w:val="7582279F"/>
    <w:rsid w:val="75843EB5"/>
    <w:rsid w:val="75BB71AF"/>
    <w:rsid w:val="75EB18CD"/>
    <w:rsid w:val="75F01962"/>
    <w:rsid w:val="760E19DF"/>
    <w:rsid w:val="76557F3E"/>
    <w:rsid w:val="76676A53"/>
    <w:rsid w:val="76A3294D"/>
    <w:rsid w:val="76B620A1"/>
    <w:rsid w:val="76F20814"/>
    <w:rsid w:val="77462524"/>
    <w:rsid w:val="779A6594"/>
    <w:rsid w:val="77A113FB"/>
    <w:rsid w:val="77A21064"/>
    <w:rsid w:val="77E34EB2"/>
    <w:rsid w:val="781564B8"/>
    <w:rsid w:val="78224ACF"/>
    <w:rsid w:val="7825297D"/>
    <w:rsid w:val="78CD6DCC"/>
    <w:rsid w:val="78D07CAF"/>
    <w:rsid w:val="78DE12D7"/>
    <w:rsid w:val="79210683"/>
    <w:rsid w:val="7972370D"/>
    <w:rsid w:val="799C3465"/>
    <w:rsid w:val="79B14EC4"/>
    <w:rsid w:val="7A2A6B4A"/>
    <w:rsid w:val="7A681070"/>
    <w:rsid w:val="7A7A6828"/>
    <w:rsid w:val="7A860C7C"/>
    <w:rsid w:val="7AB879FE"/>
    <w:rsid w:val="7B22521E"/>
    <w:rsid w:val="7B3264DD"/>
    <w:rsid w:val="7B81188A"/>
    <w:rsid w:val="7B9E2902"/>
    <w:rsid w:val="7BC854E2"/>
    <w:rsid w:val="7BE2675B"/>
    <w:rsid w:val="7C0562EC"/>
    <w:rsid w:val="7C067A45"/>
    <w:rsid w:val="7C27683F"/>
    <w:rsid w:val="7C763BEE"/>
    <w:rsid w:val="7CB14B4D"/>
    <w:rsid w:val="7CF26969"/>
    <w:rsid w:val="7CF75832"/>
    <w:rsid w:val="7D25523C"/>
    <w:rsid w:val="7D697134"/>
    <w:rsid w:val="7DB23041"/>
    <w:rsid w:val="7DB54128"/>
    <w:rsid w:val="7E5F7809"/>
    <w:rsid w:val="7ED56C53"/>
    <w:rsid w:val="7EEA1BAF"/>
    <w:rsid w:val="7F5460D4"/>
    <w:rsid w:val="7F552892"/>
    <w:rsid w:val="7F945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9"/>
    <w:autoRedefine/>
    <w:qFormat/>
    <w:uiPriority w:val="9"/>
    <w:pPr>
      <w:keepNext/>
      <w:keepLines/>
      <w:jc w:val="center"/>
      <w:outlineLvl w:val="0"/>
    </w:pPr>
    <w:rPr>
      <w:b/>
      <w:bCs/>
      <w:kern w:val="44"/>
      <w:sz w:val="36"/>
      <w:szCs w:val="44"/>
    </w:rPr>
  </w:style>
  <w:style w:type="paragraph" w:styleId="2">
    <w:name w:val="heading 2"/>
    <w:basedOn w:val="1"/>
    <w:next w:val="1"/>
    <w:link w:val="50"/>
    <w:autoRedefine/>
    <w:qFormat/>
    <w:uiPriority w:val="9"/>
    <w:pPr>
      <w:keepNext/>
      <w:keepLines/>
      <w:spacing w:line="360" w:lineRule="auto"/>
      <w:outlineLvl w:val="1"/>
    </w:pPr>
    <w:rPr>
      <w:rFonts w:ascii="Arial" w:hAnsi="Arial" w:eastAsia="宋体" w:cs="Times New Roman"/>
      <w:sz w:val="24"/>
      <w:szCs w:val="32"/>
    </w:rPr>
  </w:style>
  <w:style w:type="paragraph" w:styleId="4">
    <w:name w:val="heading 3"/>
    <w:basedOn w:val="1"/>
    <w:next w:val="1"/>
    <w:link w:val="51"/>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semiHidden/>
    <w:unhideWhenUsed/>
    <w:qFormat/>
    <w:uiPriority w:val="1"/>
  </w:style>
  <w:style w:type="table" w:default="1" w:styleId="38">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39"/>
    <w:pPr>
      <w:ind w:left="1440"/>
      <w:jc w:val="left"/>
    </w:pPr>
    <w:rPr>
      <w:rFonts w:ascii="Calibri" w:hAnsi="Calibri" w:eastAsia="宋体" w:cs="Times New Roman"/>
      <w:sz w:val="18"/>
      <w:szCs w:val="18"/>
    </w:rPr>
  </w:style>
  <w:style w:type="paragraph" w:styleId="7">
    <w:name w:val="caption"/>
    <w:basedOn w:val="1"/>
    <w:next w:val="1"/>
    <w:autoRedefine/>
    <w:qFormat/>
    <w:uiPriority w:val="35"/>
    <w:pPr>
      <w:spacing w:before="152" w:after="160"/>
    </w:pPr>
    <w:rPr>
      <w:rFonts w:ascii="Arial" w:hAnsi="Arial" w:eastAsia="黑体" w:cs="Arial"/>
      <w:sz w:val="20"/>
      <w:szCs w:val="20"/>
    </w:rPr>
  </w:style>
  <w:style w:type="paragraph" w:styleId="8">
    <w:name w:val="Document Map"/>
    <w:basedOn w:val="1"/>
    <w:link w:val="72"/>
    <w:autoRedefine/>
    <w:qFormat/>
    <w:uiPriority w:val="0"/>
    <w:pPr>
      <w:shd w:val="clear" w:color="auto" w:fill="000080"/>
    </w:pPr>
    <w:rPr>
      <w:sz w:val="24"/>
    </w:rPr>
  </w:style>
  <w:style w:type="paragraph" w:styleId="9">
    <w:name w:val="toa heading"/>
    <w:basedOn w:val="1"/>
    <w:next w:val="1"/>
    <w:autoRedefine/>
    <w:qFormat/>
    <w:uiPriority w:val="99"/>
    <w:pPr>
      <w:spacing w:before="120"/>
    </w:pPr>
    <w:rPr>
      <w:rFonts w:ascii="Arial" w:hAnsi="Arial" w:eastAsia="宋体" w:cs="Arial"/>
      <w:sz w:val="24"/>
      <w:szCs w:val="24"/>
    </w:rPr>
  </w:style>
  <w:style w:type="paragraph" w:styleId="10">
    <w:name w:val="annotation text"/>
    <w:basedOn w:val="1"/>
    <w:link w:val="63"/>
    <w:autoRedefine/>
    <w:qFormat/>
    <w:uiPriority w:val="0"/>
    <w:pPr>
      <w:jc w:val="left"/>
    </w:pPr>
  </w:style>
  <w:style w:type="paragraph" w:styleId="11">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link w:val="84"/>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4">
    <w:name w:val="index 4"/>
    <w:basedOn w:val="1"/>
    <w:next w:val="1"/>
    <w:autoRedefine/>
    <w:qFormat/>
    <w:uiPriority w:val="0"/>
    <w:pPr>
      <w:ind w:left="600" w:leftChars="600"/>
    </w:pPr>
  </w:style>
  <w:style w:type="paragraph" w:styleId="15">
    <w:name w:val="toc 5"/>
    <w:basedOn w:val="1"/>
    <w:next w:val="1"/>
    <w:autoRedefine/>
    <w:qFormat/>
    <w:uiPriority w:val="39"/>
    <w:pPr>
      <w:ind w:left="960"/>
      <w:jc w:val="left"/>
    </w:pPr>
    <w:rPr>
      <w:rFonts w:ascii="Calibri" w:hAnsi="Calibri" w:eastAsia="宋体" w:cs="Times New Roman"/>
      <w:sz w:val="18"/>
      <w:szCs w:val="18"/>
    </w:rPr>
  </w:style>
  <w:style w:type="paragraph" w:styleId="16">
    <w:name w:val="toc 3"/>
    <w:basedOn w:val="1"/>
    <w:next w:val="1"/>
    <w:autoRedefine/>
    <w:qFormat/>
    <w:uiPriority w:val="39"/>
    <w:pPr>
      <w:ind w:left="480"/>
      <w:jc w:val="left"/>
    </w:pPr>
    <w:rPr>
      <w:rFonts w:ascii="Calibri" w:hAnsi="Calibri" w:eastAsia="宋体" w:cs="Times New Roman"/>
      <w:i/>
      <w:iCs/>
      <w:sz w:val="20"/>
      <w:szCs w:val="20"/>
    </w:rPr>
  </w:style>
  <w:style w:type="paragraph" w:styleId="17">
    <w:name w:val="Plain Text"/>
    <w:basedOn w:val="1"/>
    <w:link w:val="74"/>
    <w:autoRedefine/>
    <w:qFormat/>
    <w:uiPriority w:val="0"/>
    <w:rPr>
      <w:rFonts w:ascii="宋体" w:hAnsi="Courier New"/>
    </w:rPr>
  </w:style>
  <w:style w:type="paragraph" w:styleId="18">
    <w:name w:val="toc 8"/>
    <w:basedOn w:val="1"/>
    <w:next w:val="1"/>
    <w:autoRedefine/>
    <w:qFormat/>
    <w:uiPriority w:val="39"/>
    <w:pPr>
      <w:ind w:left="1680"/>
      <w:jc w:val="left"/>
    </w:pPr>
    <w:rPr>
      <w:rFonts w:ascii="Calibri" w:hAnsi="Calibri" w:eastAsia="宋体" w:cs="Times New Roman"/>
      <w:sz w:val="18"/>
      <w:szCs w:val="18"/>
    </w:rPr>
  </w:style>
  <w:style w:type="paragraph" w:styleId="19">
    <w:name w:val="Date"/>
    <w:basedOn w:val="1"/>
    <w:next w:val="1"/>
    <w:link w:val="65"/>
    <w:autoRedefine/>
    <w:qFormat/>
    <w:uiPriority w:val="0"/>
    <w:pPr>
      <w:ind w:left="100" w:leftChars="2500"/>
    </w:pPr>
    <w:rPr>
      <w:sz w:val="24"/>
    </w:rPr>
  </w:style>
  <w:style w:type="paragraph" w:styleId="20">
    <w:name w:val="Body Text Indent 2"/>
    <w:basedOn w:val="1"/>
    <w:link w:val="53"/>
    <w:autoRedefine/>
    <w:qFormat/>
    <w:uiPriority w:val="0"/>
    <w:pPr>
      <w:spacing w:after="120" w:line="480" w:lineRule="auto"/>
      <w:ind w:left="420" w:leftChars="200"/>
    </w:pPr>
  </w:style>
  <w:style w:type="paragraph" w:styleId="21">
    <w:name w:val="Balloon Text"/>
    <w:basedOn w:val="1"/>
    <w:link w:val="69"/>
    <w:autoRedefine/>
    <w:qFormat/>
    <w:uiPriority w:val="0"/>
    <w:rPr>
      <w:sz w:val="18"/>
    </w:rPr>
  </w:style>
  <w:style w:type="paragraph" w:styleId="22">
    <w:name w:val="footer"/>
    <w:basedOn w:val="1"/>
    <w:link w:val="75"/>
    <w:autoRedefine/>
    <w:qFormat/>
    <w:uiPriority w:val="99"/>
    <w:pPr>
      <w:tabs>
        <w:tab w:val="center" w:pos="4153"/>
        <w:tab w:val="right" w:pos="8306"/>
      </w:tabs>
      <w:snapToGrid w:val="0"/>
      <w:jc w:val="left"/>
    </w:pPr>
    <w:rPr>
      <w:sz w:val="18"/>
    </w:rPr>
  </w:style>
  <w:style w:type="paragraph" w:styleId="23">
    <w:name w:val="header"/>
    <w:basedOn w:val="1"/>
    <w:link w:val="61"/>
    <w:autoRedefine/>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autoRedefine/>
    <w:qFormat/>
    <w:uiPriority w:val="39"/>
    <w:pPr>
      <w:ind w:left="720"/>
      <w:jc w:val="left"/>
    </w:pPr>
    <w:rPr>
      <w:rFonts w:ascii="Calibri" w:hAnsi="Calibri" w:eastAsia="宋体" w:cs="Times New Roman"/>
      <w:sz w:val="18"/>
      <w:szCs w:val="18"/>
    </w:rPr>
  </w:style>
  <w:style w:type="paragraph" w:styleId="26">
    <w:name w:val="Subtitle"/>
    <w:basedOn w:val="1"/>
    <w:autoRedefine/>
    <w:qFormat/>
    <w:uiPriority w:val="0"/>
    <w:pPr>
      <w:spacing w:before="240" w:after="60" w:line="312" w:lineRule="auto"/>
      <w:jc w:val="center"/>
      <w:outlineLvl w:val="1"/>
    </w:pPr>
    <w:rPr>
      <w:rFonts w:ascii="Cambria" w:hAnsi="Cambria"/>
      <w:b/>
      <w:bCs/>
      <w:kern w:val="28"/>
      <w:sz w:val="32"/>
      <w:szCs w:val="32"/>
    </w:rPr>
  </w:style>
  <w:style w:type="paragraph" w:styleId="27">
    <w:name w:val="List"/>
    <w:basedOn w:val="1"/>
    <w:autoRedefine/>
    <w:qFormat/>
    <w:uiPriority w:val="99"/>
    <w:pPr>
      <w:ind w:left="420" w:hanging="420"/>
    </w:pPr>
    <w:rPr>
      <w:rFonts w:ascii="Times New Roman" w:hAnsi="Times New Roman" w:eastAsia="宋体" w:cs="Times New Roman"/>
      <w:szCs w:val="20"/>
    </w:rPr>
  </w:style>
  <w:style w:type="paragraph" w:styleId="28">
    <w:name w:val="toc 6"/>
    <w:basedOn w:val="1"/>
    <w:next w:val="1"/>
    <w:autoRedefine/>
    <w:qFormat/>
    <w:uiPriority w:val="39"/>
    <w:pPr>
      <w:ind w:left="1200"/>
      <w:jc w:val="left"/>
    </w:pPr>
    <w:rPr>
      <w:rFonts w:ascii="Calibri" w:hAnsi="Calibri" w:eastAsia="宋体" w:cs="Times New Roman"/>
      <w:sz w:val="18"/>
      <w:szCs w:val="18"/>
    </w:rPr>
  </w:style>
  <w:style w:type="paragraph" w:styleId="29">
    <w:name w:val="Body Text Indent 3"/>
    <w:basedOn w:val="1"/>
    <w:link w:val="55"/>
    <w:autoRedefine/>
    <w:qFormat/>
    <w:uiPriority w:val="0"/>
    <w:pPr>
      <w:spacing w:after="120"/>
      <w:ind w:left="420" w:leftChars="200"/>
    </w:pPr>
    <w:rPr>
      <w:sz w:val="16"/>
    </w:rPr>
  </w:style>
  <w:style w:type="paragraph" w:styleId="30">
    <w:name w:val="index 9"/>
    <w:basedOn w:val="1"/>
    <w:next w:val="1"/>
    <w:autoRedefine/>
    <w:unhideWhenUsed/>
    <w:qFormat/>
    <w:uiPriority w:val="0"/>
    <w:pPr>
      <w:ind w:left="2520" w:hanging="280"/>
    </w:pPr>
    <w:rPr>
      <w:rFonts w:eastAsia="仿宋"/>
      <w:sz w:val="28"/>
    </w:rPr>
  </w:style>
  <w:style w:type="paragraph" w:styleId="31">
    <w:name w:val="toc 2"/>
    <w:basedOn w:val="1"/>
    <w:next w:val="1"/>
    <w:autoRedefine/>
    <w:unhideWhenUsed/>
    <w:qFormat/>
    <w:uiPriority w:val="39"/>
    <w:pPr>
      <w:ind w:left="420" w:leftChars="200"/>
    </w:pPr>
    <w:rPr>
      <w:rFonts w:ascii="Calibri" w:hAnsi="Calibri" w:eastAsia="宋体" w:cs="Times New Roman"/>
      <w:szCs w:val="20"/>
    </w:rPr>
  </w:style>
  <w:style w:type="paragraph" w:styleId="32">
    <w:name w:val="toc 9"/>
    <w:basedOn w:val="1"/>
    <w:next w:val="1"/>
    <w:autoRedefine/>
    <w:qFormat/>
    <w:uiPriority w:val="39"/>
    <w:pPr>
      <w:ind w:left="1920"/>
      <w:jc w:val="left"/>
    </w:pPr>
    <w:rPr>
      <w:rFonts w:ascii="Calibri" w:hAnsi="Calibri" w:eastAsia="宋体" w:cs="Times New Roman"/>
      <w:sz w:val="18"/>
      <w:szCs w:val="18"/>
    </w:rPr>
  </w:style>
  <w:style w:type="paragraph" w:styleId="33">
    <w:name w:val="Normal (Web)"/>
    <w:basedOn w:val="1"/>
    <w:autoRedefine/>
    <w:qFormat/>
    <w:uiPriority w:val="99"/>
    <w:rPr>
      <w:rFonts w:ascii="Calibri" w:hAnsi="Calibri" w:eastAsia="宋体" w:cs="Times New Roman"/>
      <w:sz w:val="24"/>
      <w:szCs w:val="20"/>
    </w:rPr>
  </w:style>
  <w:style w:type="paragraph" w:styleId="34">
    <w:name w:val="index 1"/>
    <w:basedOn w:val="1"/>
    <w:next w:val="1"/>
    <w:autoRedefine/>
    <w:qFormat/>
    <w:uiPriority w:val="99"/>
    <w:rPr>
      <w:rFonts w:ascii="Calibri" w:hAnsi="Calibri" w:eastAsia="宋体" w:cs="Times New Roman"/>
      <w:sz w:val="24"/>
      <w:szCs w:val="24"/>
    </w:rPr>
  </w:style>
  <w:style w:type="paragraph" w:styleId="35">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0"/>
    <w:next w:val="10"/>
    <w:link w:val="54"/>
    <w:autoRedefine/>
    <w:qFormat/>
    <w:uiPriority w:val="0"/>
    <w:rPr>
      <w:b/>
    </w:rPr>
  </w:style>
  <w:style w:type="paragraph" w:styleId="37">
    <w:name w:val="Body Text First Indent 2"/>
    <w:basedOn w:val="13"/>
    <w:autoRedefine/>
    <w:semiHidden/>
    <w:qFormat/>
    <w:uiPriority w:val="99"/>
    <w:pPr>
      <w:spacing w:line="276" w:lineRule="auto"/>
      <w:ind w:firstLine="420" w:firstLineChars="200"/>
      <w:jc w:val="left"/>
    </w:pPr>
  </w:style>
  <w:style w:type="table" w:styleId="39">
    <w:name w:val="Table Grid"/>
    <w:basedOn w:val="3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autoRedefine/>
    <w:qFormat/>
    <w:uiPriority w:val="22"/>
    <w:rPr>
      <w:b/>
    </w:rPr>
  </w:style>
  <w:style w:type="character" w:styleId="42">
    <w:name w:val="page number"/>
    <w:basedOn w:val="40"/>
    <w:autoRedefine/>
    <w:qFormat/>
    <w:uiPriority w:val="99"/>
    <w:rPr>
      <w:rFonts w:cs="Times New Roman"/>
    </w:rPr>
  </w:style>
  <w:style w:type="character" w:styleId="43">
    <w:name w:val="FollowedHyperlink"/>
    <w:basedOn w:val="40"/>
    <w:autoRedefine/>
    <w:qFormat/>
    <w:uiPriority w:val="99"/>
    <w:rPr>
      <w:color w:val="800080"/>
      <w:u w:val="single"/>
    </w:rPr>
  </w:style>
  <w:style w:type="character" w:styleId="44">
    <w:name w:val="Emphasis"/>
    <w:autoRedefine/>
    <w:qFormat/>
    <w:uiPriority w:val="99"/>
    <w:rPr>
      <w:rFonts w:cs="Times New Roman"/>
      <w:color w:val="auto"/>
    </w:rPr>
  </w:style>
  <w:style w:type="character" w:styleId="45">
    <w:name w:val="HTML Acronym"/>
    <w:basedOn w:val="40"/>
    <w:autoRedefine/>
    <w:qFormat/>
    <w:uiPriority w:val="99"/>
  </w:style>
  <w:style w:type="character" w:styleId="46">
    <w:name w:val="Hyperlink"/>
    <w:basedOn w:val="40"/>
    <w:autoRedefine/>
    <w:qFormat/>
    <w:uiPriority w:val="99"/>
    <w:rPr>
      <w:color w:val="1F4F88"/>
      <w:u w:val="none"/>
    </w:rPr>
  </w:style>
  <w:style w:type="character" w:styleId="47">
    <w:name w:val="annotation reference"/>
    <w:basedOn w:val="40"/>
    <w:autoRedefine/>
    <w:qFormat/>
    <w:uiPriority w:val="99"/>
    <w:rPr>
      <w:sz w:val="21"/>
    </w:rPr>
  </w:style>
  <w:style w:type="paragraph" w:customStyle="1" w:styleId="48">
    <w:name w:val="首行缩进"/>
    <w:basedOn w:val="1"/>
    <w:autoRedefine/>
    <w:qFormat/>
    <w:uiPriority w:val="0"/>
    <w:pPr>
      <w:ind w:firstLine="480" w:firstLineChars="200"/>
    </w:pPr>
    <w:rPr>
      <w:lang w:val="zh-CN"/>
    </w:rPr>
  </w:style>
  <w:style w:type="character" w:customStyle="1" w:styleId="49">
    <w:name w:val="标题 1 字符"/>
    <w:basedOn w:val="40"/>
    <w:link w:val="3"/>
    <w:autoRedefine/>
    <w:qFormat/>
    <w:uiPriority w:val="9"/>
    <w:rPr>
      <w:rFonts w:ascii="Calibri" w:hAnsi="Calibri" w:eastAsia="宋体" w:cs="Times New Roman"/>
      <w:b/>
      <w:bCs/>
      <w:kern w:val="44"/>
      <w:sz w:val="36"/>
      <w:szCs w:val="44"/>
    </w:rPr>
  </w:style>
  <w:style w:type="character" w:customStyle="1" w:styleId="50">
    <w:name w:val="标题 2 字符"/>
    <w:basedOn w:val="40"/>
    <w:link w:val="2"/>
    <w:autoRedefine/>
    <w:qFormat/>
    <w:uiPriority w:val="9"/>
    <w:rPr>
      <w:rFonts w:ascii="Arial" w:hAnsi="Arial" w:eastAsia="宋体" w:cs="Times New Roman"/>
      <w:b/>
      <w:bCs/>
      <w:sz w:val="24"/>
      <w:szCs w:val="32"/>
    </w:rPr>
  </w:style>
  <w:style w:type="character" w:customStyle="1" w:styleId="51">
    <w:name w:val="标题 3 字符"/>
    <w:basedOn w:val="40"/>
    <w:link w:val="4"/>
    <w:semiHidden/>
    <w:qFormat/>
    <w:uiPriority w:val="9"/>
    <w:rPr>
      <w:rFonts w:ascii="Calibri" w:hAnsi="Calibri" w:eastAsia="宋体" w:cs="Times New Roman"/>
      <w:b/>
      <w:bCs/>
      <w:sz w:val="32"/>
      <w:szCs w:val="32"/>
    </w:rPr>
  </w:style>
  <w:style w:type="character" w:customStyle="1" w:styleId="52">
    <w:name w:val="Char Char3"/>
    <w:autoRedefine/>
    <w:qFormat/>
    <w:uiPriority w:val="0"/>
    <w:rPr>
      <w:rFonts w:ascii="宋体" w:hAnsi="Courier New" w:eastAsia="宋体"/>
      <w:kern w:val="2"/>
      <w:sz w:val="21"/>
      <w:lang w:val="en-US" w:eastAsia="zh-CN"/>
    </w:rPr>
  </w:style>
  <w:style w:type="character" w:customStyle="1" w:styleId="53">
    <w:name w:val="正文文本缩进 2 字符"/>
    <w:link w:val="20"/>
    <w:autoRedefine/>
    <w:qFormat/>
    <w:locked/>
    <w:uiPriority w:val="0"/>
  </w:style>
  <w:style w:type="character" w:customStyle="1" w:styleId="54">
    <w:name w:val="批注主题 字符"/>
    <w:link w:val="36"/>
    <w:autoRedefine/>
    <w:qFormat/>
    <w:locked/>
    <w:uiPriority w:val="0"/>
    <w:rPr>
      <w:b/>
    </w:rPr>
  </w:style>
  <w:style w:type="character" w:customStyle="1" w:styleId="55">
    <w:name w:val="正文文本缩进 3 字符"/>
    <w:link w:val="29"/>
    <w:autoRedefine/>
    <w:qFormat/>
    <w:locked/>
    <w:uiPriority w:val="0"/>
    <w:rPr>
      <w:sz w:val="16"/>
    </w:rPr>
  </w:style>
  <w:style w:type="character" w:customStyle="1" w:styleId="56">
    <w:name w:val="纯文本 Char"/>
    <w:autoRedefine/>
    <w:qFormat/>
    <w:uiPriority w:val="0"/>
    <w:rPr>
      <w:rFonts w:ascii="宋体" w:hAnsi="Courier New" w:eastAsia="宋体"/>
      <w:kern w:val="2"/>
      <w:sz w:val="21"/>
      <w:lang w:val="en-US" w:eastAsia="zh-CN"/>
    </w:rPr>
  </w:style>
  <w:style w:type="character" w:customStyle="1" w:styleId="57">
    <w:name w:val="Char Char2"/>
    <w:autoRedefine/>
    <w:qFormat/>
    <w:uiPriority w:val="0"/>
    <w:rPr>
      <w:rFonts w:ascii="宋体" w:hAnsi="Courier New"/>
      <w:kern w:val="2"/>
      <w:sz w:val="21"/>
    </w:rPr>
  </w:style>
  <w:style w:type="character" w:customStyle="1" w:styleId="58">
    <w:name w:val="列出段落 字符"/>
    <w:link w:val="59"/>
    <w:autoRedefine/>
    <w:qFormat/>
    <w:locked/>
    <w:uiPriority w:val="34"/>
    <w:rPr>
      <w:sz w:val="22"/>
    </w:rPr>
  </w:style>
  <w:style w:type="paragraph" w:customStyle="1" w:styleId="59">
    <w:name w:val="列出段落1"/>
    <w:basedOn w:val="1"/>
    <w:link w:val="58"/>
    <w:autoRedefine/>
    <w:qFormat/>
    <w:uiPriority w:val="34"/>
    <w:pPr>
      <w:ind w:firstLine="420" w:firstLineChars="200"/>
    </w:pPr>
    <w:rPr>
      <w:sz w:val="22"/>
    </w:rPr>
  </w:style>
  <w:style w:type="character" w:customStyle="1" w:styleId="60">
    <w:name w:val="apple-converted-space"/>
    <w:basedOn w:val="40"/>
    <w:autoRedefine/>
    <w:qFormat/>
    <w:uiPriority w:val="0"/>
    <w:rPr>
      <w:rFonts w:cs="Times New Roman"/>
    </w:rPr>
  </w:style>
  <w:style w:type="character" w:customStyle="1" w:styleId="61">
    <w:name w:val="页眉 字符"/>
    <w:link w:val="23"/>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字符"/>
    <w:link w:val="10"/>
    <w:autoRedefine/>
    <w:qFormat/>
    <w:locked/>
    <w:uiPriority w:val="0"/>
  </w:style>
  <w:style w:type="character" w:customStyle="1" w:styleId="64">
    <w:name w:val="标题 字符"/>
    <w:link w:val="35"/>
    <w:autoRedefine/>
    <w:qFormat/>
    <w:locked/>
    <w:uiPriority w:val="0"/>
    <w:rPr>
      <w:rFonts w:ascii="Arial" w:hAnsi="Arial"/>
      <w:b/>
      <w:sz w:val="32"/>
    </w:rPr>
  </w:style>
  <w:style w:type="character" w:customStyle="1" w:styleId="65">
    <w:name w:val="日期 字符"/>
    <w:link w:val="19"/>
    <w:autoRedefine/>
    <w:qFormat/>
    <w:locked/>
    <w:uiPriority w:val="0"/>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字符"/>
    <w:link w:val="21"/>
    <w:qFormat/>
    <w:locked/>
    <w:uiPriority w:val="0"/>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字符"/>
    <w:link w:val="8"/>
    <w:autoRedefine/>
    <w:qFormat/>
    <w:locked/>
    <w:uiPriority w:val="0"/>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字符"/>
    <w:link w:val="17"/>
    <w:autoRedefine/>
    <w:qFormat/>
    <w:locked/>
    <w:uiPriority w:val="0"/>
    <w:rPr>
      <w:rFonts w:ascii="宋体" w:hAnsi="Courier New"/>
    </w:rPr>
  </w:style>
  <w:style w:type="character" w:customStyle="1" w:styleId="75">
    <w:name w:val="页脚 字符"/>
    <w:link w:val="22"/>
    <w:autoRedefine/>
    <w:qFormat/>
    <w:locked/>
    <w:uiPriority w:val="99"/>
    <w:rPr>
      <w:sz w:val="18"/>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40"/>
    <w:semiHidden/>
    <w:qFormat/>
    <w:uiPriority w:val="99"/>
  </w:style>
  <w:style w:type="character" w:customStyle="1" w:styleId="80">
    <w:name w:val="批注文字 字符11"/>
    <w:basedOn w:val="40"/>
    <w:autoRedefine/>
    <w:qFormat/>
    <w:uiPriority w:val="0"/>
    <w:rPr>
      <w:rFonts w:cs="Times New Roman"/>
      <w:kern w:val="2"/>
      <w:sz w:val="21"/>
    </w:rPr>
  </w:style>
  <w:style w:type="character" w:customStyle="1" w:styleId="81">
    <w:name w:val="正文文本缩进 字符"/>
    <w:basedOn w:val="40"/>
    <w:link w:val="13"/>
    <w:autoRedefine/>
    <w:qFormat/>
    <w:uiPriority w:val="99"/>
    <w:rPr>
      <w:rFonts w:ascii="Calibri" w:hAnsi="Calibri" w:eastAsia="宋体" w:cs="Times New Roman"/>
      <w:szCs w:val="20"/>
    </w:rPr>
  </w:style>
  <w:style w:type="character" w:customStyle="1" w:styleId="82">
    <w:name w:val="文档结构图 字符1"/>
    <w:basedOn w:val="40"/>
    <w:autoRedefine/>
    <w:semiHidden/>
    <w:qFormat/>
    <w:uiPriority w:val="99"/>
    <w:rPr>
      <w:rFonts w:ascii="Microsoft YaHei UI" w:eastAsia="Microsoft YaHei UI"/>
      <w:sz w:val="18"/>
      <w:szCs w:val="18"/>
    </w:rPr>
  </w:style>
  <w:style w:type="character" w:customStyle="1" w:styleId="83">
    <w:name w:val="文档结构图 字符11"/>
    <w:basedOn w:val="40"/>
    <w:autoRedefine/>
    <w:semiHidden/>
    <w:qFormat/>
    <w:uiPriority w:val="99"/>
    <w:rPr>
      <w:rFonts w:ascii="Microsoft YaHei UI" w:eastAsia="Microsoft YaHei UI" w:cs="Times New Roman"/>
      <w:kern w:val="2"/>
      <w:sz w:val="18"/>
      <w:szCs w:val="18"/>
    </w:rPr>
  </w:style>
  <w:style w:type="character" w:customStyle="1" w:styleId="84">
    <w:name w:val="正文文本 字符"/>
    <w:basedOn w:val="40"/>
    <w:link w:val="12"/>
    <w:autoRedefine/>
    <w:qFormat/>
    <w:uiPriority w:val="99"/>
    <w:rPr>
      <w:rFonts w:ascii="Calibri" w:hAnsi="Calibri" w:eastAsia="新宋体" w:cs="Times New Roman"/>
      <w:szCs w:val="21"/>
    </w:rPr>
  </w:style>
  <w:style w:type="character" w:customStyle="1" w:styleId="85">
    <w:name w:val="纯文本 字符1"/>
    <w:basedOn w:val="40"/>
    <w:autoRedefine/>
    <w:semiHidden/>
    <w:qFormat/>
    <w:uiPriority w:val="99"/>
    <w:rPr>
      <w:rFonts w:hAnsi="Courier New" w:cs="Courier New" w:asciiTheme="minorEastAsia"/>
    </w:rPr>
  </w:style>
  <w:style w:type="character" w:customStyle="1" w:styleId="86">
    <w:name w:val="纯文本 字符11"/>
    <w:basedOn w:val="40"/>
    <w:autoRedefine/>
    <w:qFormat/>
    <w:uiPriority w:val="0"/>
    <w:rPr>
      <w:rFonts w:hAnsi="Courier New" w:cs="Courier New" w:asciiTheme="minorEastAsia" w:eastAsiaTheme="minorEastAsia"/>
      <w:kern w:val="2"/>
      <w:sz w:val="21"/>
    </w:rPr>
  </w:style>
  <w:style w:type="character" w:customStyle="1" w:styleId="87">
    <w:name w:val="页眉 字符1"/>
    <w:basedOn w:val="40"/>
    <w:autoRedefine/>
    <w:semiHidden/>
    <w:qFormat/>
    <w:uiPriority w:val="99"/>
    <w:rPr>
      <w:sz w:val="18"/>
      <w:szCs w:val="18"/>
    </w:rPr>
  </w:style>
  <w:style w:type="character" w:customStyle="1" w:styleId="88">
    <w:name w:val="页眉 字符11"/>
    <w:basedOn w:val="40"/>
    <w:autoRedefine/>
    <w:semiHidden/>
    <w:qFormat/>
    <w:uiPriority w:val="99"/>
    <w:rPr>
      <w:rFonts w:cs="Times New Roman"/>
      <w:kern w:val="2"/>
      <w:sz w:val="18"/>
      <w:szCs w:val="18"/>
    </w:rPr>
  </w:style>
  <w:style w:type="character" w:customStyle="1" w:styleId="89">
    <w:name w:val="批注框文本 字符1"/>
    <w:basedOn w:val="40"/>
    <w:autoRedefine/>
    <w:semiHidden/>
    <w:qFormat/>
    <w:uiPriority w:val="99"/>
    <w:rPr>
      <w:sz w:val="18"/>
      <w:szCs w:val="18"/>
    </w:rPr>
  </w:style>
  <w:style w:type="character" w:customStyle="1" w:styleId="90">
    <w:name w:val="批注框文本 字符11"/>
    <w:basedOn w:val="40"/>
    <w:autoRedefine/>
    <w:semiHidden/>
    <w:qFormat/>
    <w:uiPriority w:val="99"/>
    <w:rPr>
      <w:rFonts w:cs="Times New Roman"/>
      <w:kern w:val="2"/>
      <w:sz w:val="18"/>
      <w:szCs w:val="18"/>
    </w:rPr>
  </w:style>
  <w:style w:type="character" w:customStyle="1" w:styleId="91">
    <w:name w:val="日期 字符1"/>
    <w:basedOn w:val="40"/>
    <w:autoRedefine/>
    <w:semiHidden/>
    <w:qFormat/>
    <w:uiPriority w:val="99"/>
  </w:style>
  <w:style w:type="character" w:customStyle="1" w:styleId="92">
    <w:name w:val="日期 字符11"/>
    <w:basedOn w:val="40"/>
    <w:autoRedefine/>
    <w:semiHidden/>
    <w:qFormat/>
    <w:uiPriority w:val="99"/>
    <w:rPr>
      <w:rFonts w:cs="Times New Roman"/>
      <w:kern w:val="2"/>
      <w:sz w:val="21"/>
    </w:rPr>
  </w:style>
  <w:style w:type="character" w:customStyle="1" w:styleId="93">
    <w:name w:val="页脚 字符1"/>
    <w:basedOn w:val="40"/>
    <w:autoRedefine/>
    <w:semiHidden/>
    <w:qFormat/>
    <w:uiPriority w:val="99"/>
    <w:rPr>
      <w:sz w:val="18"/>
      <w:szCs w:val="18"/>
    </w:rPr>
  </w:style>
  <w:style w:type="character" w:customStyle="1" w:styleId="94">
    <w:name w:val="页脚 字符11"/>
    <w:basedOn w:val="40"/>
    <w:autoRedefine/>
    <w:semiHidden/>
    <w:qFormat/>
    <w:uiPriority w:val="99"/>
    <w:rPr>
      <w:rFonts w:cs="Times New Roman"/>
      <w:kern w:val="2"/>
      <w:sz w:val="18"/>
      <w:szCs w:val="18"/>
    </w:rPr>
  </w:style>
  <w:style w:type="character" w:customStyle="1" w:styleId="95">
    <w:name w:val="正文文本缩进 2 字符1"/>
    <w:basedOn w:val="40"/>
    <w:autoRedefine/>
    <w:semiHidden/>
    <w:qFormat/>
    <w:uiPriority w:val="99"/>
  </w:style>
  <w:style w:type="character" w:customStyle="1" w:styleId="96">
    <w:name w:val="正文文本缩进 2 字符11"/>
    <w:basedOn w:val="40"/>
    <w:autoRedefine/>
    <w:semiHidden/>
    <w:qFormat/>
    <w:uiPriority w:val="99"/>
    <w:rPr>
      <w:rFonts w:cs="Times New Roman"/>
      <w:kern w:val="2"/>
      <w:sz w:val="21"/>
    </w:rPr>
  </w:style>
  <w:style w:type="character" w:customStyle="1" w:styleId="97">
    <w:name w:val="正文文本缩进 3 字符1"/>
    <w:basedOn w:val="40"/>
    <w:autoRedefine/>
    <w:semiHidden/>
    <w:qFormat/>
    <w:uiPriority w:val="99"/>
    <w:rPr>
      <w:sz w:val="16"/>
      <w:szCs w:val="16"/>
    </w:rPr>
  </w:style>
  <w:style w:type="character" w:customStyle="1" w:styleId="98">
    <w:name w:val="正文文本缩进 3 字符11"/>
    <w:basedOn w:val="40"/>
    <w:autoRedefine/>
    <w:semiHidden/>
    <w:qFormat/>
    <w:uiPriority w:val="99"/>
    <w:rPr>
      <w:rFonts w:cs="Times New Roman"/>
      <w:kern w:val="2"/>
      <w:sz w:val="16"/>
      <w:szCs w:val="16"/>
    </w:rPr>
  </w:style>
  <w:style w:type="character" w:customStyle="1" w:styleId="99">
    <w:name w:val="批注主题 字符1"/>
    <w:basedOn w:val="79"/>
    <w:autoRedefine/>
    <w:semiHidden/>
    <w:qFormat/>
    <w:uiPriority w:val="99"/>
    <w:rPr>
      <w:b/>
      <w:bCs/>
    </w:rPr>
  </w:style>
  <w:style w:type="character" w:customStyle="1" w:styleId="100">
    <w:name w:val="批注主题 字符11"/>
    <w:basedOn w:val="80"/>
    <w:autoRedefine/>
    <w:semiHidden/>
    <w:qFormat/>
    <w:uiPriority w:val="99"/>
    <w:rPr>
      <w:rFonts w:cs="Times New Roman"/>
      <w:b/>
      <w:bCs/>
      <w:kern w:val="2"/>
      <w:sz w:val="21"/>
    </w:rPr>
  </w:style>
  <w:style w:type="character" w:customStyle="1" w:styleId="101">
    <w:name w:val="标题 字符1"/>
    <w:basedOn w:val="40"/>
    <w:autoRedefine/>
    <w:qFormat/>
    <w:uiPriority w:val="10"/>
    <w:rPr>
      <w:rFonts w:asciiTheme="majorHAnsi" w:hAnsiTheme="majorHAnsi" w:eastAsiaTheme="majorEastAsia" w:cstheme="majorBidi"/>
      <w:b/>
      <w:bCs/>
      <w:sz w:val="32"/>
      <w:szCs w:val="32"/>
    </w:rPr>
  </w:style>
  <w:style w:type="character" w:customStyle="1" w:styleId="102">
    <w:name w:val="标题 字符11"/>
    <w:basedOn w:val="40"/>
    <w:autoRedefine/>
    <w:qFormat/>
    <w:uiPriority w:val="10"/>
    <w:rPr>
      <w:rFonts w:cs="Times New Roman" w:asciiTheme="majorHAnsi" w:hAnsiTheme="majorHAnsi" w:eastAsiaTheme="majorEastAsia"/>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05"/>
    <w:next w:val="107"/>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章标题"/>
    <w:next w:val="106"/>
    <w:autoRedefine/>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106">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7">
    <w:name w:val="0"/>
    <w:basedOn w:val="106"/>
    <w:autoRedefine/>
    <w:qFormat/>
    <w:uiPriority w:val="0"/>
  </w:style>
  <w:style w:type="paragraph" w:customStyle="1" w:styleId="108">
    <w:name w:val="二级列表 Char"/>
    <w:basedOn w:val="1"/>
    <w:autoRedefine/>
    <w:qFormat/>
    <w:uiPriority w:val="0"/>
    <w:rPr>
      <w:rFonts w:ascii="Calibri" w:hAnsi="Calibri" w:eastAsia="宋体" w:cs="Times New Roman"/>
      <w:szCs w:val="20"/>
    </w:rPr>
  </w:style>
  <w:style w:type="paragraph" w:customStyle="1" w:styleId="109">
    <w:name w:val="2"/>
    <w:basedOn w:val="110"/>
    <w:next w:val="107"/>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一级条标题"/>
    <w:basedOn w:val="105"/>
    <w:next w:val="106"/>
    <w:autoRedefine/>
    <w:qFormat/>
    <w:uiPriority w:val="0"/>
    <w:pPr>
      <w:numPr>
        <w:ilvl w:val="2"/>
      </w:numPr>
      <w:spacing w:beforeLines="0" w:afterLines="0"/>
      <w:outlineLvl w:val="2"/>
    </w:pPr>
  </w:style>
  <w:style w:type="paragraph" w:customStyle="1" w:styleId="111">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12">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3">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4">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5">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6">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7">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8">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9">
    <w:name w:val="标书正文格式"/>
    <w:basedOn w:val="17"/>
    <w:link w:val="121"/>
    <w:autoRedefine/>
    <w:qFormat/>
    <w:uiPriority w:val="0"/>
    <w:pPr>
      <w:spacing w:line="360" w:lineRule="auto"/>
      <w:ind w:firstLine="200" w:firstLineChars="200"/>
    </w:pPr>
    <w:rPr>
      <w:rFonts w:hAnsi="宋体"/>
      <w:color w:val="000000"/>
      <w:sz w:val="24"/>
      <w:szCs w:val="24"/>
    </w:rPr>
  </w:style>
  <w:style w:type="paragraph" w:customStyle="1" w:styleId="120">
    <w:name w:val="标书二级标题"/>
    <w:basedOn w:val="2"/>
    <w:link w:val="123"/>
    <w:autoRedefine/>
    <w:qFormat/>
    <w:uiPriority w:val="0"/>
    <w:pPr>
      <w:spacing w:line="240" w:lineRule="auto"/>
      <w:jc w:val="left"/>
    </w:pPr>
    <w:rPr>
      <w:rFonts w:ascii="宋体" w:hAnsi="宋体" w:eastAsia="黑体"/>
      <w:sz w:val="28"/>
      <w:szCs w:val="30"/>
    </w:rPr>
  </w:style>
  <w:style w:type="character" w:customStyle="1" w:styleId="121">
    <w:name w:val="标书正文格式 字符"/>
    <w:link w:val="119"/>
    <w:autoRedefine/>
    <w:qFormat/>
    <w:locked/>
    <w:uiPriority w:val="0"/>
    <w:rPr>
      <w:rFonts w:ascii="宋体" w:hAnsi="宋体"/>
      <w:color w:val="000000"/>
      <w:sz w:val="24"/>
      <w:szCs w:val="24"/>
    </w:rPr>
  </w:style>
  <w:style w:type="paragraph" w:customStyle="1" w:styleId="122">
    <w:name w:val="标书表格"/>
    <w:basedOn w:val="1"/>
    <w:link w:val="124"/>
    <w:autoRedefine/>
    <w:qFormat/>
    <w:uiPriority w:val="0"/>
    <w:pPr>
      <w:jc w:val="center"/>
    </w:pPr>
    <w:rPr>
      <w:rFonts w:ascii="Times New Roman" w:hAnsi="Times New Roman" w:eastAsia="宋体" w:cs="Times New Roman"/>
      <w:b/>
      <w:szCs w:val="20"/>
    </w:rPr>
  </w:style>
  <w:style w:type="character" w:customStyle="1" w:styleId="123">
    <w:name w:val="标书二级标题 字符"/>
    <w:link w:val="120"/>
    <w:autoRedefine/>
    <w:qFormat/>
    <w:locked/>
    <w:uiPriority w:val="0"/>
    <w:rPr>
      <w:rFonts w:ascii="宋体" w:hAnsi="宋体" w:eastAsia="黑体" w:cs="Times New Roman"/>
      <w:bCs/>
      <w:sz w:val="28"/>
      <w:szCs w:val="30"/>
    </w:rPr>
  </w:style>
  <w:style w:type="character" w:customStyle="1" w:styleId="124">
    <w:name w:val="标书表格 字符"/>
    <w:link w:val="122"/>
    <w:autoRedefine/>
    <w:qFormat/>
    <w:locked/>
    <w:uiPriority w:val="0"/>
    <w:rPr>
      <w:rFonts w:ascii="Times New Roman" w:hAnsi="Times New Roman" w:eastAsia="宋体" w:cs="Times New Roman"/>
      <w:b/>
      <w:szCs w:val="20"/>
    </w:rPr>
  </w:style>
  <w:style w:type="paragraph" w:customStyle="1" w:styleId="125">
    <w:name w:val="标书三级标题"/>
    <w:basedOn w:val="4"/>
    <w:next w:val="119"/>
    <w:link w:val="126"/>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6">
    <w:name w:val="标书三级标题 字符"/>
    <w:link w:val="125"/>
    <w:autoRedefine/>
    <w:qFormat/>
    <w:locked/>
    <w:uiPriority w:val="0"/>
    <w:rPr>
      <w:rFonts w:ascii="Times New Roman" w:hAnsi="Times New Roman" w:eastAsia="宋体" w:cs="Times New Roman"/>
      <w:b/>
      <w:bCs/>
      <w:color w:val="000000"/>
      <w:sz w:val="24"/>
      <w:szCs w:val="24"/>
    </w:rPr>
  </w:style>
  <w:style w:type="character" w:customStyle="1" w:styleId="127">
    <w:name w:val="标三级标题 字符"/>
    <w:link w:val="128"/>
    <w:autoRedefine/>
    <w:qFormat/>
    <w:locked/>
    <w:uiPriority w:val="0"/>
    <w:rPr>
      <w:b/>
      <w:color w:val="000000"/>
      <w:sz w:val="24"/>
    </w:rPr>
  </w:style>
  <w:style w:type="paragraph" w:customStyle="1" w:styleId="128">
    <w:name w:val="标三级标题"/>
    <w:basedOn w:val="125"/>
    <w:link w:val="127"/>
    <w:autoRedefine/>
    <w:qFormat/>
    <w:uiPriority w:val="0"/>
    <w:rPr>
      <w:rFonts w:asciiTheme="minorHAnsi" w:hAnsiTheme="minorHAnsi" w:eastAsiaTheme="minorEastAsia" w:cstheme="minorBidi"/>
      <w:bCs w:val="0"/>
      <w:szCs w:val="22"/>
    </w:rPr>
  </w:style>
  <w:style w:type="character" w:customStyle="1" w:styleId="129">
    <w:name w:val="标正文 字符"/>
    <w:link w:val="130"/>
    <w:autoRedefine/>
    <w:qFormat/>
    <w:locked/>
    <w:uiPriority w:val="0"/>
    <w:rPr>
      <w:rFonts w:ascii="宋体" w:eastAsia="宋体"/>
      <w:color w:val="000000"/>
      <w:sz w:val="24"/>
    </w:rPr>
  </w:style>
  <w:style w:type="paragraph" w:customStyle="1" w:styleId="130">
    <w:name w:val="标正文"/>
    <w:basedOn w:val="119"/>
    <w:link w:val="129"/>
    <w:autoRedefine/>
    <w:qFormat/>
    <w:uiPriority w:val="0"/>
    <w:pPr>
      <w:ind w:firstLine="480"/>
    </w:pPr>
    <w:rPr>
      <w:rFonts w:eastAsia="宋体" w:hAnsiTheme="minorHAnsi"/>
      <w:szCs w:val="22"/>
    </w:rPr>
  </w:style>
  <w:style w:type="paragraph" w:customStyle="1" w:styleId="131">
    <w:name w:val="TOC 标题1"/>
    <w:basedOn w:val="3"/>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2">
    <w:name w:val="HR正文表格"/>
    <w:basedOn w:val="1"/>
    <w:autoRedefine/>
    <w:qFormat/>
    <w:uiPriority w:val="0"/>
    <w:pPr>
      <w:spacing w:beforeLines="25" w:afterLines="25" w:line="300" w:lineRule="auto"/>
    </w:pPr>
    <w:rPr>
      <w:szCs w:val="24"/>
    </w:rPr>
  </w:style>
  <w:style w:type="paragraph" w:styleId="133">
    <w:name w:val="List Paragraph"/>
    <w:basedOn w:val="1"/>
    <w:autoRedefine/>
    <w:qFormat/>
    <w:uiPriority w:val="99"/>
    <w:pPr>
      <w:ind w:firstLine="420" w:firstLineChars="200"/>
    </w:pPr>
  </w:style>
  <w:style w:type="paragraph" w:customStyle="1" w:styleId="134">
    <w:name w:val="WPSOffice手动目录 1"/>
    <w:autoRedefine/>
    <w:qFormat/>
    <w:uiPriority w:val="0"/>
    <w:rPr>
      <w:rFonts w:ascii="Times New Roman" w:hAnsi="Times New Roman" w:eastAsia="宋体" w:cs="Times New Roman"/>
      <w:lang w:val="en-US" w:eastAsia="zh-CN" w:bidi="ar-SA"/>
    </w:rPr>
  </w:style>
  <w:style w:type="table" w:customStyle="1" w:styleId="135">
    <w:name w:val="Table Normal"/>
    <w:autoRedefine/>
    <w:semiHidden/>
    <w:unhideWhenUsed/>
    <w:qFormat/>
    <w:uiPriority w:val="0"/>
    <w:tblPr>
      <w:tblCellMar>
        <w:top w:w="0" w:type="dxa"/>
        <w:left w:w="0" w:type="dxa"/>
        <w:bottom w:w="0" w:type="dxa"/>
        <w:right w:w="0" w:type="dxa"/>
      </w:tblCellMar>
    </w:tblPr>
  </w:style>
  <w:style w:type="character" w:customStyle="1" w:styleId="136">
    <w:name w:val="NormalCharacter"/>
    <w:autoRedefine/>
    <w:qFormat/>
    <w:uiPriority w:val="0"/>
  </w:style>
  <w:style w:type="paragraph" w:customStyle="1" w:styleId="137">
    <w:name w:val="Table Paragraph"/>
    <w:basedOn w:val="1"/>
    <w:autoRedefine/>
    <w:qFormat/>
    <w:uiPriority w:val="1"/>
    <w:rPr>
      <w:rFonts w:ascii="宋体" w:hAnsi="宋体" w:eastAsia="宋体" w:cs="宋体"/>
    </w:rPr>
  </w:style>
  <w:style w:type="paragraph" w:customStyle="1" w:styleId="138">
    <w:name w:val="标书一级标题"/>
    <w:basedOn w:val="3"/>
    <w:autoRedefine/>
    <w:qFormat/>
    <w:uiPriority w:val="0"/>
    <w:pPr>
      <w:spacing w:before="0" w:after="0" w:line="240" w:lineRule="auto"/>
      <w:jc w:val="center"/>
    </w:pPr>
    <w:rPr>
      <w:rFonts w:eastAsia="黑体"/>
      <w:b w:val="0"/>
      <w:color w:val="000000"/>
      <w:sz w:val="30"/>
      <w:szCs w:val="24"/>
    </w:rPr>
  </w:style>
  <w:style w:type="paragraph" w:customStyle="1" w:styleId="139">
    <w:name w:val="FAW正文"/>
    <w:basedOn w:val="1"/>
    <w:autoRedefine/>
    <w:qFormat/>
    <w:uiPriority w:val="99"/>
    <w:pPr>
      <w:spacing w:line="300" w:lineRule="auto"/>
      <w:ind w:firstLine="200" w:firstLineChars="200"/>
    </w:pPr>
    <w:rPr>
      <w:rFonts w:ascii="Calibri" w:hAnsi="Calibri"/>
      <w:sz w:val="24"/>
      <w:szCs w:val="24"/>
    </w:rPr>
  </w:style>
  <w:style w:type="character" w:customStyle="1" w:styleId="140">
    <w:name w:val="font11"/>
    <w:basedOn w:val="40"/>
    <w:qFormat/>
    <w:uiPriority w:val="0"/>
    <w:rPr>
      <w:rFonts w:hint="eastAsia" w:ascii="宋体" w:hAnsi="宋体" w:eastAsia="宋体" w:cs="宋体"/>
      <w:b/>
      <w:bCs/>
      <w:color w:val="000000"/>
      <w:sz w:val="21"/>
      <w:szCs w:val="21"/>
      <w:u w:val="none"/>
    </w:rPr>
  </w:style>
  <w:style w:type="character" w:customStyle="1" w:styleId="141">
    <w:name w:val="font21"/>
    <w:basedOn w:val="40"/>
    <w:qFormat/>
    <w:uiPriority w:val="0"/>
    <w:rPr>
      <w:rFonts w:hint="eastAsia" w:ascii="宋体" w:hAnsi="宋体" w:eastAsia="宋体" w:cs="宋体"/>
      <w:color w:val="000000"/>
      <w:sz w:val="21"/>
      <w:szCs w:val="21"/>
      <w:u w:val="none"/>
    </w:rPr>
  </w:style>
  <w:style w:type="character" w:customStyle="1" w:styleId="142">
    <w:name w:val="font31"/>
    <w:basedOn w:val="40"/>
    <w:qFormat/>
    <w:uiPriority w:val="0"/>
    <w:rPr>
      <w:rFonts w:hint="eastAsia" w:ascii="宋体" w:hAnsi="宋体" w:eastAsia="宋体" w:cs="宋体"/>
      <w:color w:val="000000"/>
      <w:sz w:val="21"/>
      <w:szCs w:val="21"/>
      <w:u w:val="none"/>
    </w:rPr>
  </w:style>
  <w:style w:type="paragraph" w:customStyle="1" w:styleId="143">
    <w:name w:val="二级条标题"/>
    <w:basedOn w:val="110"/>
    <w:next w:val="106"/>
    <w:qFormat/>
    <w:uiPriority w:val="0"/>
    <w:pPr>
      <w:numPr>
        <w:ilvl w:val="3"/>
      </w:numPr>
      <w:outlineLvl w:val="3"/>
    </w:pPr>
  </w:style>
  <w:style w:type="paragraph" w:customStyle="1" w:styleId="144">
    <w:name w:val="三级条标题"/>
    <w:basedOn w:val="143"/>
    <w:next w:val="106"/>
    <w:autoRedefine/>
    <w:qFormat/>
    <w:uiPriority w:val="0"/>
    <w:pPr>
      <w:numPr>
        <w:ilvl w:val="4"/>
      </w:numPr>
      <w:outlineLvl w:val="4"/>
    </w:pPr>
  </w:style>
  <w:style w:type="paragraph" w:customStyle="1" w:styleId="14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4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47">
    <w:name w:val="封面正文"/>
    <w:autoRedefine/>
    <w:semiHidden/>
    <w:qFormat/>
    <w:uiPriority w:val="0"/>
    <w:pPr>
      <w:jc w:val="both"/>
    </w:pPr>
    <w:rPr>
      <w:rFonts w:ascii="Times New Roman" w:hAnsi="Times New Roman" w:eastAsia="宋体" w:cs="Times New Roman"/>
      <w:lang w:val="en-US" w:eastAsia="zh-CN" w:bidi="ar-SA"/>
    </w:rPr>
  </w:style>
  <w:style w:type="paragraph" w:customStyle="1" w:styleId="148">
    <w:name w:val="3.1"/>
    <w:basedOn w:val="143"/>
    <w:next w:val="107"/>
    <w:qFormat/>
    <w:uiPriority w:val="0"/>
    <w:pPr>
      <w:spacing w:before="25" w:beforeLines="25" w:after="25" w:afterLines="25"/>
    </w:pPr>
  </w:style>
  <w:style w:type="paragraph" w:customStyle="1" w:styleId="149">
    <w:name w:val="_Style 1"/>
    <w:basedOn w:val="1"/>
    <w:autoRedefine/>
    <w:semiHidden/>
    <w:qFormat/>
    <w:uiPriority w:val="34"/>
    <w:pPr>
      <w:ind w:firstLine="420" w:firstLineChars="200"/>
    </w:pPr>
  </w:style>
  <w:style w:type="paragraph" w:customStyle="1" w:styleId="150">
    <w:name w:val="3.2"/>
    <w:basedOn w:val="143"/>
    <w:next w:val="107"/>
    <w:autoRedefine/>
    <w:qFormat/>
    <w:uiPriority w:val="0"/>
    <w:pPr>
      <w:numPr>
        <w:ilvl w:val="3"/>
        <w:numId w:val="1"/>
      </w:numPr>
      <w:spacing w:before="25" w:beforeLines="25" w:after="25" w:afterLines="25"/>
    </w:pPr>
    <w:rPr>
      <w:rFonts w:ascii="宋体" w:hAnsi="宋体" w:eastAsia="宋体"/>
    </w:rPr>
  </w:style>
  <w:style w:type="paragraph" w:customStyle="1" w:styleId="151">
    <w:name w:val="4"/>
    <w:basedOn w:val="143"/>
    <w:next w:val="107"/>
    <w:qFormat/>
    <w:uiPriority w:val="0"/>
    <w:pPr>
      <w:numPr>
        <w:ilvl w:val="4"/>
        <w:numId w:val="1"/>
      </w:numPr>
      <w:outlineLvl w:val="4"/>
    </w:pPr>
    <w:rPr>
      <w:rFonts w:ascii="宋体" w:hAnsi="宋体" w:eastAsia="宋体"/>
      <w:color w:val="000000"/>
      <w:szCs w:val="21"/>
    </w:rPr>
  </w:style>
  <w:style w:type="paragraph" w:customStyle="1" w:styleId="152">
    <w:name w:val="其他发布部门"/>
    <w:basedOn w:val="153"/>
    <w:semiHidden/>
    <w:qFormat/>
    <w:uiPriority w:val="0"/>
    <w:pPr>
      <w:spacing w:line="0" w:lineRule="atLeast"/>
    </w:pPr>
    <w:rPr>
      <w:rFonts w:ascii="黑体" w:eastAsia="黑体"/>
      <w:b w:val="0"/>
    </w:rPr>
  </w:style>
  <w:style w:type="paragraph" w:customStyle="1" w:styleId="153">
    <w:name w:val="发布部门"/>
    <w:next w:val="106"/>
    <w:semiHidden/>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character" w:customStyle="1" w:styleId="154">
    <w:name w:val="font01"/>
    <w:basedOn w:val="4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5.png"/><Relationship Id="rId48" Type="http://schemas.openxmlformats.org/officeDocument/2006/relationships/image" Target="media/image14.png"/><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header" Target="header6.xml"/><Relationship Id="rId30" Type="http://schemas.openxmlformats.org/officeDocument/2006/relationships/header" Target="header5.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73</Pages>
  <Words>31288</Words>
  <Characters>32863</Characters>
  <Lines>1</Lines>
  <Paragraphs>1</Paragraphs>
  <TotalTime>197</TotalTime>
  <ScaleCrop>false</ScaleCrop>
  <LinksUpToDate>false</LinksUpToDate>
  <CharactersWithSpaces>38903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Yuxin</cp:lastModifiedBy>
  <cp:lastPrinted>2022-07-01T03:19:00Z</cp:lastPrinted>
  <dcterms:modified xsi:type="dcterms:W3CDTF">2024-01-15T00:33:32Z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5035C9CBC4184D29A655D3E07D53D953_13</vt:lpwstr>
  </property>
</Properties>
</file>