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w:t>
      </w:r>
      <w:r>
        <w:rPr>
          <w:rFonts w:hint="eastAsia" w:ascii="Calibri" w:hAnsi="宋体" w:eastAsia="宋体" w:cs="Times New Roman"/>
          <w:b/>
          <w:bCs/>
          <w:color w:val="000000"/>
          <w:spacing w:val="-8"/>
          <w:sz w:val="48"/>
          <w:szCs w:val="44"/>
        </w:rPr>
        <w:t>有限公司</w:t>
      </w:r>
    </w:p>
    <w:p>
      <w:pPr>
        <w:spacing w:line="276" w:lineRule="auto"/>
        <w:jc w:val="center"/>
        <w:rPr>
          <w:rFonts w:ascii="Calibri" w:hAnsi="宋体" w:eastAsia="宋体" w:cs="Times New Roman"/>
          <w:b/>
          <w:bCs/>
          <w:color w:val="000000"/>
          <w:spacing w:val="-8"/>
          <w:sz w:val="48"/>
          <w:szCs w:val="44"/>
        </w:rPr>
      </w:pPr>
      <w:bookmarkStart w:id="2" w:name="_Toc22361"/>
      <w:bookmarkStart w:id="3" w:name="_Toc5167"/>
      <w:bookmarkStart w:id="4" w:name="_Toc15978"/>
      <w:bookmarkStart w:id="5" w:name="_Toc8358"/>
      <w:r>
        <w:rPr>
          <w:rFonts w:hint="eastAsia" w:ascii="Calibri" w:hAnsi="宋体" w:eastAsia="宋体" w:cs="Times New Roman"/>
          <w:b/>
          <w:bCs/>
          <w:color w:val="000000"/>
          <w:spacing w:val="-8"/>
          <w:sz w:val="48"/>
          <w:szCs w:val="44"/>
          <w:lang w:val="en-US" w:eastAsia="zh-CN"/>
        </w:rPr>
        <w:t>新能源产品试验检测中心充电桩采购项目</w:t>
      </w:r>
      <w:bookmarkEnd w:id="2"/>
      <w:bookmarkEnd w:id="3"/>
      <w:bookmarkEnd w:id="4"/>
      <w:bookmarkEnd w:id="5"/>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pStyle w:val="18"/>
      </w:pPr>
    </w:p>
    <w:p>
      <w:pPr>
        <w:pStyle w:val="18"/>
      </w:pPr>
    </w:p>
    <w:p>
      <w:pPr>
        <w:pStyle w:val="18"/>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5"/>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pPr>
            <w:pStyle w:val="25"/>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42</w:t>
          </w:r>
        </w:p>
        <w:p>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2"/>
        </w:numPr>
        <w:jc w:val="center"/>
        <w:outlineLvl w:val="0"/>
        <w:rPr>
          <w:rFonts w:ascii="Calibri" w:hAnsi="Calibri" w:eastAsia="宋体" w:cs="Times New Roman"/>
          <w:b/>
          <w:bCs/>
          <w:kern w:val="44"/>
          <w:sz w:val="36"/>
          <w:szCs w:val="44"/>
        </w:rPr>
      </w:pPr>
      <w:bookmarkStart w:id="6" w:name="_Toc25915"/>
      <w:r>
        <w:rPr>
          <w:rFonts w:hint="eastAsia" w:ascii="Calibri" w:hAnsi="Calibri" w:eastAsia="宋体" w:cs="Times New Roman"/>
          <w:b/>
          <w:bCs/>
          <w:kern w:val="44"/>
          <w:sz w:val="36"/>
          <w:szCs w:val="44"/>
        </w:rPr>
        <w:t xml:space="preserve"> 投标须知前附表</w:t>
      </w:r>
      <w:bookmarkEnd w:id="6"/>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0"/>
                <w:rFonts w:ascii="宋体" w:hAnsi="宋体" w:eastAsia="宋体" w:cs="宋体"/>
                <w:b/>
                <w:sz w:val="28"/>
                <w:szCs w:val="28"/>
              </w:rPr>
            </w:pPr>
            <w:bookmarkStart w:id="7"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新能源产品试验检测中心充电桩采购</w:t>
            </w:r>
            <w:r>
              <w:rPr>
                <w:rFonts w:hint="eastAsia" w:ascii="宋体" w:hAnsi="宋体" w:eastAsia="宋体" w:cs="宋体"/>
                <w:b/>
                <w:bCs/>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CGZX2024010074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Times New Roman"/>
                <w:b/>
                <w:bCs/>
                <w:color w:val="000000"/>
                <w:sz w:val="24"/>
                <w:szCs w:val="24"/>
                <w:highlight w:val="yellow"/>
                <w:lang w:val="en-US" w:eastAsia="zh-CN"/>
              </w:rPr>
              <w:t>3</w:t>
            </w:r>
            <w:r>
              <w:rPr>
                <w:rFonts w:hint="eastAsia" w:ascii="宋体" w:hAnsi="宋体" w:eastAsia="宋体" w:cs="Times New Roman"/>
                <w:b/>
                <w:bCs/>
                <w:color w:val="000000"/>
                <w:sz w:val="24"/>
                <w:szCs w:val="24"/>
                <w:highlight w:val="yellow"/>
              </w:rPr>
              <w:t>套</w:t>
            </w:r>
            <w:r>
              <w:rPr>
                <w:rFonts w:hint="default" w:ascii="宋体" w:hAnsi="宋体" w:eastAsia="宋体" w:cs="Times New Roman"/>
                <w:b/>
                <w:bCs/>
                <w:color w:val="000000"/>
                <w:sz w:val="24"/>
                <w:szCs w:val="24"/>
                <w:highlight w:val="yellow"/>
                <w:lang w:val="en-US" w:eastAsia="zh-CN"/>
              </w:rPr>
              <w:t>600kW分体式直流充电系统</w:t>
            </w:r>
          </w:p>
          <w:p>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u w:val="none"/>
                <w:lang w:val="en-US" w:eastAsia="zh-CN"/>
              </w:rPr>
              <w:t>莱芜新能源产品试验检测中心</w:t>
            </w:r>
            <w:r>
              <w:rPr>
                <w:rFonts w:hint="eastAsia" w:ascii="宋体" w:hAnsi="宋体" w:eastAsia="宋体" w:cs="Times New Roman"/>
                <w:b/>
                <w:bCs/>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sz w:val="24"/>
                <w:szCs w:val="24"/>
                <w:highlight w:val="none"/>
                <w:lang w:val="en-US" w:eastAsia="zh-CN"/>
              </w:rPr>
              <w:t>王维文</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16622906434</w:t>
            </w:r>
          </w:p>
          <w:p>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wangweiwen@sinotruk.com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（如收口收边等）、配合办理政府验收手续（不限质监验收、消防验收、环评及职业卫生评价、安全评价等）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highlight w:val="none"/>
                <w:lang w:val="en-US" w:eastAsia="zh-CN"/>
              </w:rPr>
              <w:t>人民币105万元（含税，税率13%），超过投标限价无法投标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2</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副本原件扫描件（需盖章）</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w:t>
            </w:r>
            <w:r>
              <w:rPr>
                <w:rFonts w:hint="eastAsia" w:ascii="宋体" w:hAnsi="宋体" w:eastAsia="宋体" w:cs="宋体"/>
                <w:color w:val="000000"/>
                <w:sz w:val="24"/>
                <w:szCs w:val="24"/>
                <w:highlight w:val="none"/>
              </w:rPr>
              <w:t>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r>
              <w:rPr>
                <w:rFonts w:hint="eastAsia" w:hAnsi="宋体" w:eastAsia="宋体" w:cs="宋体"/>
                <w:color w:val="000000"/>
                <w:sz w:val="24"/>
                <w:szCs w:val="24"/>
              </w:rPr>
              <w:t>；</w:t>
            </w:r>
          </w:p>
          <w:p>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b/>
                <w:bCs/>
                <w:color w:val="000000"/>
                <w:sz w:val="24"/>
                <w:szCs w:val="24"/>
                <w:highlight w:val="none"/>
                <w:lang w:val="en-US" w:eastAsia="zh-CN"/>
              </w:rPr>
              <w:t>征信报告</w:t>
            </w:r>
            <w:r>
              <w:rPr>
                <w:rFonts w:hint="eastAsia" w:ascii="宋体" w:hAnsi="宋体" w:eastAsia="宋体" w:cs="宋体"/>
                <w:color w:val="000000"/>
                <w:sz w:val="24"/>
                <w:szCs w:val="24"/>
                <w:highlight w:val="none"/>
                <w:lang w:val="en-US" w:eastAsia="zh-CN"/>
              </w:rPr>
              <w:t>）未显示异常；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26</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26</w:t>
            </w:r>
            <w:r>
              <w:rPr>
                <w:rFonts w:hint="eastAsia" w:eastAsia="宋体" w:cs="宋体"/>
                <w:highlight w:val="yellow"/>
              </w:rPr>
              <w:t>日17时00分00秒</w:t>
            </w:r>
          </w:p>
          <w:p>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hint="eastAsia" w:ascii="宋体" w:hAnsi="宋体" w:eastAsia="宋体" w:cs="宋体"/>
                <w:sz w:val="24"/>
                <w:szCs w:val="24"/>
                <w:lang w:val="en-US" w:eastAsia="zh-CN"/>
              </w:rPr>
              <w:t>20000</w:t>
            </w:r>
            <w:r>
              <w:rPr>
                <w:rFonts w:hint="eastAsia" w:ascii="宋体" w:hAnsi="宋体" w:eastAsia="宋体" w:cs="宋体"/>
                <w:sz w:val="24"/>
                <w:szCs w:val="24"/>
              </w:rPr>
              <w:t>.00元</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bookmarkStart w:id="137" w:name="_GoBack"/>
            <w:bookmarkEnd w:id="137"/>
            <w:r>
              <w:rPr>
                <w:rFonts w:hint="eastAsia" w:ascii="宋体" w:hAnsi="宋体" w:eastAsia="宋体" w:cs="宋体"/>
                <w:color w:val="000000"/>
                <w:sz w:val="24"/>
                <w:szCs w:val="24"/>
                <w:highlight w:val="yellow"/>
                <w:lang w:val="en-US" w:eastAsia="zh-CN"/>
              </w:rPr>
              <w:t>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80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b/>
                <w:bCs/>
                <w:sz w:val="24"/>
                <w:szCs w:val="24"/>
                <w:u w:val="none"/>
                <w:lang w:val="en-US" w:eastAsia="zh-CN"/>
              </w:rPr>
              <w:t>莱芜新能源产品试验检测中心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eastAsia="宋体" w:cs="Times New Roman"/>
                <w:color w:val="000000"/>
                <w:sz w:val="24"/>
                <w:szCs w:val="24"/>
                <w:highlight w:val="none"/>
                <w:lang w:val="en-US" w:eastAsia="zh-CN"/>
              </w:rPr>
              <w:t>合同签订生效后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hint="eastAsia" w:eastAsia="宋体" w:cs="Times New Roman"/>
                <w:b/>
                <w:bCs/>
                <w:color w:val="000000"/>
                <w:sz w:val="24"/>
                <w:szCs w:val="24"/>
                <w:highlight w:val="none"/>
                <w:lang w:val="en-US" w:eastAsia="zh-CN"/>
              </w:rPr>
              <w:t>30</w:t>
            </w:r>
            <w:r>
              <w:rPr>
                <w:rFonts w:eastAsia="宋体" w:cs="Times New Roman"/>
                <w:b/>
                <w:bCs/>
                <w:color w:val="000000"/>
                <w:sz w:val="24"/>
                <w:szCs w:val="24"/>
                <w:highlight w:val="none"/>
              </w:rPr>
              <w:t>%</w:t>
            </w:r>
            <w:r>
              <w:rPr>
                <w:rFonts w:eastAsia="宋体" w:cs="Times New Roman"/>
                <w:color w:val="000000"/>
                <w:sz w:val="24"/>
                <w:szCs w:val="24"/>
                <w:highlight w:val="none"/>
              </w:rPr>
              <w:t>的收据并提供合同价款</w:t>
            </w:r>
            <w:r>
              <w:rPr>
                <w:rFonts w:hint="eastAsia" w:eastAsia="宋体" w:cs="Times New Roman"/>
                <w:b/>
                <w:bCs/>
                <w:color w:val="000000"/>
                <w:sz w:val="24"/>
                <w:szCs w:val="24"/>
                <w:highlight w:val="none"/>
                <w:lang w:val="en-US" w:eastAsia="zh-CN"/>
              </w:rPr>
              <w:t>30</w:t>
            </w:r>
            <w:r>
              <w:rPr>
                <w:rFonts w:eastAsia="宋体" w:cs="Times New Roman"/>
                <w:b/>
                <w:bCs/>
                <w:color w:val="000000"/>
                <w:sz w:val="24"/>
                <w:szCs w:val="24"/>
                <w:highlight w:val="none"/>
              </w:rPr>
              <w:t>%</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rPr>
              <w:t>【</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18"/>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ascii="宋体" w:hAnsi="Courier New" w:eastAsia="宋体" w:cs="Times New Roman"/>
                <w:color w:val="000000"/>
                <w:sz w:val="24"/>
                <w:szCs w:val="24"/>
                <w:highlight w:val="none"/>
              </w:rPr>
              <w:t>【</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hint="eastAsia" w:hAnsi="宋体" w:eastAsia="宋体" w:cs="宋体"/>
                <w:color w:val="000000"/>
                <w:sz w:val="24"/>
                <w:szCs w:val="24"/>
                <w:highlight w:val="none"/>
              </w:rPr>
              <w:t>支付</w:t>
            </w:r>
            <w:r>
              <w:rPr>
                <w:rFonts w:hint="eastAsia" w:hAnsi="宋体" w:eastAsia="宋体" w:cs="宋体"/>
                <w:color w:val="000000"/>
                <w:sz w:val="24"/>
                <w:szCs w:val="24"/>
                <w:highlight w:val="none"/>
                <w:lang w:eastAsia="zh-CN"/>
              </w:rPr>
              <w:t>；</w:t>
            </w:r>
          </w:p>
          <w:p>
            <w:pPr>
              <w:pStyle w:val="18"/>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18"/>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lang w:val="en-US" w:eastAsia="zh-CN"/>
              </w:rPr>
              <w:t>30</w:t>
            </w:r>
            <w:r>
              <w:rPr>
                <w:rFonts w:hint="eastAsia" w:ascii="宋体" w:hAnsi="Courier New" w:eastAsia="宋体" w:cs="Times New Roman"/>
                <w:color w:val="000000"/>
                <w:sz w:val="24"/>
                <w:szCs w:val="24"/>
                <w:highlight w:val="none"/>
              </w:rPr>
              <w:t>】日后</w:t>
            </w:r>
            <w:r>
              <w:rPr>
                <w:rFonts w:hint="eastAsia" w:ascii="宋体" w:hAnsi="Courier New" w:eastAsia="宋体" w:cs="Times New Roman"/>
                <w:color w:val="000000"/>
                <w:sz w:val="24"/>
                <w:szCs w:val="24"/>
                <w:highlight w:val="none"/>
                <w:lang w:val="en-US" w:eastAsia="zh-CN"/>
              </w:rPr>
              <w:t>支付</w:t>
            </w:r>
            <w:r>
              <w:rPr>
                <w:rFonts w:hint="eastAsia" w:ascii="宋体" w:hAnsi="Courier New" w:eastAsia="宋体" w:cs="Times New Roman"/>
                <w:color w:val="000000"/>
                <w:sz w:val="24"/>
                <w:szCs w:val="24"/>
                <w:highlight w:val="none"/>
              </w:rPr>
              <w:t>。如有质量问题，质量保证金予以相应扣除</w:t>
            </w:r>
            <w:r>
              <w:rPr>
                <w:rFonts w:hint="eastAsia" w:ascii="宋体" w:hAnsi="Courier New"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7"/>
    </w:tbl>
    <w:p>
      <w:pPr>
        <w:pStyle w:val="18"/>
        <w:jc w:val="center"/>
        <w:outlineLvl w:val="0"/>
        <w:rPr>
          <w:rFonts w:ascii="Calibri" w:hAnsi="Calibri" w:eastAsia="宋体" w:cs="Times New Roman"/>
          <w:b/>
          <w:bCs/>
          <w:kern w:val="44"/>
          <w:sz w:val="36"/>
          <w:szCs w:val="44"/>
        </w:rPr>
      </w:pPr>
      <w:bookmarkStart w:id="8" w:name="_Toc15609"/>
      <w:r>
        <w:rPr>
          <w:rFonts w:hint="eastAsia" w:ascii="Calibri" w:hAnsi="Calibri" w:eastAsia="宋体" w:cs="Times New Roman"/>
          <w:b/>
          <w:bCs/>
          <w:kern w:val="44"/>
          <w:sz w:val="36"/>
          <w:szCs w:val="44"/>
        </w:rPr>
        <w:t>第二部分 投标须知</w:t>
      </w:r>
      <w:bookmarkEnd w:id="8"/>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rPr>
        <w:t>见《投标须知前附表》。</w:t>
      </w:r>
    </w:p>
    <w:bookmarkEnd w:id="9"/>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18"/>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3"/>
        <w:ind w:firstLine="480"/>
        <w:rPr>
          <w:rFonts w:eastAsia="宋体" w:cs="宋体"/>
        </w:rPr>
      </w:pPr>
      <w:r>
        <w:rPr>
          <w:rFonts w:hint="eastAsia" w:eastAsia="宋体" w:cs="宋体"/>
        </w:rPr>
        <w:t>4.2招标人银行账户信息如下：见《投标须知前附表》4.2。</w:t>
      </w:r>
    </w:p>
    <w:p>
      <w:pPr>
        <w:pStyle w:val="113"/>
        <w:ind w:firstLine="480"/>
        <w:rPr>
          <w:rFonts w:eastAsia="宋体" w:cs="宋体"/>
        </w:rPr>
      </w:pPr>
      <w:r>
        <w:rPr>
          <w:rFonts w:hint="eastAsia" w:eastAsia="宋体" w:cs="宋体"/>
        </w:rPr>
        <w:t>转账附言：公司名称+项目名称+投标保证金；</w:t>
      </w:r>
    </w:p>
    <w:p>
      <w:pPr>
        <w:pStyle w:val="113"/>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pPr>
        <w:pStyle w:val="113"/>
        <w:ind w:firstLine="480"/>
        <w:rPr>
          <w:rFonts w:eastAsia="宋体" w:cs="宋体"/>
        </w:rPr>
      </w:pPr>
      <w:r>
        <w:rPr>
          <w:rFonts w:hint="eastAsia" w:eastAsia="宋体" w:cs="宋体"/>
        </w:rPr>
        <w:t>4.3说明</w:t>
      </w:r>
    </w:p>
    <w:p>
      <w:pPr>
        <w:pStyle w:val="113"/>
        <w:ind w:firstLine="480"/>
        <w:rPr>
          <w:rFonts w:eastAsia="宋体" w:cs="宋体"/>
        </w:rPr>
      </w:pPr>
      <w:r>
        <w:rPr>
          <w:rFonts w:hint="eastAsia" w:eastAsia="宋体" w:cs="宋体"/>
        </w:rPr>
        <w:t>4.3.1 投标人在向招标人出示《投标保证金缴纳凭证》后方可进行投标；</w:t>
      </w:r>
    </w:p>
    <w:p>
      <w:pPr>
        <w:pStyle w:val="113"/>
        <w:ind w:firstLine="480"/>
        <w:rPr>
          <w:rFonts w:eastAsia="宋体" w:cs="宋体"/>
        </w:rPr>
      </w:pPr>
      <w:r>
        <w:rPr>
          <w:rFonts w:hint="eastAsia" w:eastAsia="宋体" w:cs="宋体"/>
        </w:rPr>
        <w:t>4.3.2 发生以下情况时，招标人有权没收保证金：</w:t>
      </w:r>
    </w:p>
    <w:p>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3"/>
        <w:ind w:firstLine="480"/>
        <w:rPr>
          <w:rFonts w:eastAsia="宋体" w:cs="宋体"/>
        </w:rPr>
      </w:pPr>
      <w:r>
        <w:rPr>
          <w:rFonts w:hint="eastAsia" w:eastAsia="宋体" w:cs="宋体"/>
        </w:rPr>
        <w:t>4.3.2.2 投标人递送投标文件后，无正当理由放弃投标的；</w:t>
      </w:r>
    </w:p>
    <w:p>
      <w:pPr>
        <w:pStyle w:val="113"/>
        <w:ind w:firstLine="480"/>
        <w:rPr>
          <w:rFonts w:eastAsia="宋体" w:cs="宋体"/>
        </w:rPr>
      </w:pPr>
      <w:r>
        <w:rPr>
          <w:rFonts w:hint="eastAsia" w:eastAsia="宋体" w:cs="宋体"/>
        </w:rPr>
        <w:t>4.3.2.3若为视频开标，招标过程中澄清函等资料原件未按要求提交的；</w:t>
      </w:r>
    </w:p>
    <w:p>
      <w:pPr>
        <w:pStyle w:val="113"/>
        <w:ind w:firstLine="480"/>
        <w:rPr>
          <w:rFonts w:eastAsia="宋体" w:cs="宋体"/>
        </w:rPr>
      </w:pPr>
      <w:r>
        <w:rPr>
          <w:rFonts w:hint="eastAsia" w:eastAsia="宋体" w:cs="宋体"/>
        </w:rPr>
        <w:t>4.3.2.4自中标通知书发出之日起30日内，中标人无正当理由不签订合同的；</w:t>
      </w:r>
    </w:p>
    <w:p>
      <w:pPr>
        <w:pStyle w:val="113"/>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pPr>
        <w:pStyle w:val="113"/>
        <w:ind w:firstLine="480"/>
        <w:rPr>
          <w:rFonts w:eastAsia="宋体" w:cs="宋体"/>
        </w:rPr>
      </w:pPr>
      <w:r>
        <w:rPr>
          <w:rFonts w:hint="eastAsia" w:eastAsia="宋体" w:cs="宋体"/>
        </w:rPr>
        <w:t>4.4投标报名截止时间</w:t>
      </w:r>
    </w:p>
    <w:p>
      <w:pPr>
        <w:pStyle w:val="113"/>
        <w:ind w:firstLine="480"/>
        <w:rPr>
          <w:rFonts w:eastAsia="宋体" w:cs="宋体"/>
        </w:rPr>
      </w:pPr>
      <w:r>
        <w:rPr>
          <w:rFonts w:hint="eastAsia" w:eastAsia="宋体" w:cs="宋体"/>
        </w:rPr>
        <w:t>报名方式：见《投标须知前附表》2.3。</w:t>
      </w:r>
    </w:p>
    <w:p>
      <w:pPr>
        <w:pStyle w:val="113"/>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pPr>
        <w:spacing w:line="360" w:lineRule="auto"/>
        <w:jc w:val="left"/>
        <w:outlineLvl w:val="1"/>
        <w:rPr>
          <w:rFonts w:ascii="宋体" w:hAnsi="宋体" w:eastAsia="宋体" w:cs="宋体"/>
          <w:b/>
          <w:sz w:val="24"/>
          <w:szCs w:val="24"/>
        </w:rPr>
      </w:pPr>
      <w:bookmarkStart w:id="10" w:name="_Toc33266914"/>
      <w:bookmarkStart w:id="11" w:name="_Toc33266950"/>
      <w:bookmarkStart w:id="12" w:name="_Toc33266627"/>
      <w:bookmarkStart w:id="13" w:name="_Toc33265752"/>
      <w:bookmarkStart w:id="14" w:name="_Toc33285487"/>
      <w:bookmarkStart w:id="15" w:name="_Toc33267001"/>
      <w:bookmarkStart w:id="16" w:name="_Toc33265653"/>
      <w:r>
        <w:rPr>
          <w:rFonts w:hint="eastAsia" w:ascii="宋体" w:hAnsi="宋体" w:eastAsia="宋体" w:cs="宋体"/>
          <w:b/>
          <w:sz w:val="24"/>
          <w:szCs w:val="24"/>
        </w:rPr>
        <w:t>六、评价原则</w:t>
      </w:r>
      <w:bookmarkEnd w:id="10"/>
      <w:bookmarkEnd w:id="11"/>
      <w:bookmarkEnd w:id="12"/>
      <w:bookmarkEnd w:id="13"/>
      <w:bookmarkEnd w:id="14"/>
      <w:bookmarkEnd w:id="15"/>
      <w:bookmarkEnd w:id="16"/>
      <w:bookmarkStart w:id="17" w:name="_Toc395116633"/>
    </w:p>
    <w:bookmarkEnd w:id="17"/>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8" w:name="_Toc33285489"/>
      <w:bookmarkStart w:id="19" w:name="_Toc33266951"/>
      <w:bookmarkStart w:id="20" w:name="_Toc33266915"/>
      <w:bookmarkStart w:id="21" w:name="_Toc33266628"/>
      <w:bookmarkStart w:id="22" w:name="_Toc395116634"/>
      <w:bookmarkStart w:id="23" w:name="_Toc33267002"/>
      <w:bookmarkStart w:id="24" w:name="_Toc33265654"/>
      <w:bookmarkStart w:id="25" w:name="_Toc33265753"/>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8"/>
    <w:bookmarkEnd w:id="19"/>
    <w:bookmarkEnd w:id="20"/>
    <w:bookmarkEnd w:id="21"/>
    <w:bookmarkEnd w:id="22"/>
    <w:bookmarkEnd w:id="23"/>
    <w:bookmarkEnd w:id="24"/>
    <w:bookmarkEnd w:id="25"/>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6" w:name="OLE_LINK26"/>
      <w:bookmarkStart w:id="27" w:name="OLE_LINK25"/>
      <w:bookmarkStart w:id="28" w:name="OLE_LINK28"/>
      <w:bookmarkStart w:id="29" w:name="OLE_LINK29"/>
      <w:bookmarkStart w:id="30" w:name="OLE_LINK27"/>
      <w:r>
        <w:rPr>
          <w:rFonts w:hint="eastAsia" w:ascii="宋体" w:hAnsi="宋体" w:eastAsia="宋体" w:cs="宋体"/>
          <w:bCs/>
          <w:sz w:val="24"/>
          <w:szCs w:val="24"/>
        </w:rPr>
        <w:t>；</w:t>
      </w:r>
      <w:bookmarkEnd w:id="26"/>
      <w:bookmarkEnd w:id="27"/>
      <w:bookmarkEnd w:id="28"/>
      <w:bookmarkEnd w:id="29"/>
      <w:bookmarkEnd w:id="30"/>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8"/>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numPr>
          <w:ilvl w:val="255"/>
          <w:numId w:val="0"/>
        </w:numPr>
        <w:jc w:val="center"/>
        <w:outlineLvl w:val="0"/>
        <w:rPr>
          <w:rFonts w:ascii="Calibri" w:hAnsi="Calibri" w:eastAsia="宋体" w:cs="Times New Roman"/>
          <w:b/>
          <w:bCs/>
          <w:kern w:val="44"/>
          <w:sz w:val="36"/>
          <w:szCs w:val="44"/>
        </w:rPr>
      </w:pPr>
      <w:bookmarkStart w:id="31" w:name="_Toc22879"/>
      <w:r>
        <w:rPr>
          <w:rFonts w:hint="eastAsia" w:ascii="Calibri" w:hAnsi="Calibri" w:eastAsia="宋体" w:cs="Times New Roman"/>
          <w:b/>
          <w:bCs/>
          <w:kern w:val="44"/>
          <w:sz w:val="36"/>
          <w:szCs w:val="44"/>
        </w:rPr>
        <w:t>第三部分 投标文件编制</w:t>
      </w:r>
      <w:bookmarkEnd w:id="31"/>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2020年1月1日至今，企业近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bookmarkStart w:id="32"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年1月1日以来同类产品的制造销售业绩（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3"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33"/>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4" w:name="OLE_LINK19"/>
      <w:bookmarkStart w:id="35" w:name="OLE_LINK18"/>
      <w:r>
        <w:rPr>
          <w:rFonts w:hint="eastAsia" w:ascii="宋体" w:hAnsi="宋体" w:eastAsia="宋体" w:cs="宋体"/>
          <w:b/>
          <w:color w:val="000000"/>
          <w:sz w:val="24"/>
          <w:szCs w:val="24"/>
        </w:rPr>
        <w:t>；</w:t>
      </w:r>
      <w:bookmarkEnd w:id="34"/>
      <w:bookmarkEnd w:id="35"/>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6" w:name="_Toc9849"/>
      <w:r>
        <w:rPr>
          <w:rFonts w:hint="eastAsia" w:ascii="Calibri" w:hAnsi="Calibri" w:eastAsia="宋体" w:cs="Times New Roman"/>
          <w:b/>
          <w:bCs/>
          <w:kern w:val="44"/>
          <w:sz w:val="36"/>
          <w:szCs w:val="44"/>
        </w:rPr>
        <w:t>第四部分 技术标书</w:t>
      </w:r>
      <w:bookmarkEnd w:id="36"/>
    </w:p>
    <w:p>
      <w:pPr>
        <w:pStyle w:val="18"/>
      </w:pP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w:t>
      </w:r>
      <w:r>
        <w:rPr>
          <w:rFonts w:hint="eastAsia" w:ascii="Calibri" w:hAnsi="宋体" w:eastAsia="宋体" w:cs="Times New Roman"/>
          <w:b/>
          <w:bCs/>
          <w:color w:val="000000"/>
          <w:spacing w:val="-8"/>
          <w:sz w:val="48"/>
          <w:szCs w:val="44"/>
        </w:rPr>
        <w:t>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新能源产品试验检测中心充电桩采购项目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ascii="黑体" w:hAnsi="宋体" w:eastAsia="黑体" w:cs="Times New Roman"/>
          <w:color w:val="000000"/>
          <w:sz w:val="72"/>
          <w:szCs w:val="72"/>
        </w:rPr>
      </w:pPr>
    </w:p>
    <w:p>
      <w:pPr>
        <w:pStyle w:val="18"/>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7"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7"/>
    </w:p>
    <w:p>
      <w:pPr>
        <w:keepNext/>
        <w:keepLines/>
        <w:spacing w:before="120" w:after="120" w:line="480" w:lineRule="exact"/>
        <w:jc w:val="center"/>
        <w:outlineLvl w:val="2"/>
        <w:rPr>
          <w:rFonts w:ascii="Arial" w:hAnsi="Arial" w:eastAsia="宋体" w:cs="Times New Roman"/>
          <w:b/>
          <w:bCs/>
          <w:sz w:val="24"/>
          <w:szCs w:val="24"/>
        </w:rPr>
      </w:pPr>
      <w:bookmarkStart w:id="38"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8"/>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b/>
          <w:bCs/>
          <w:sz w:val="24"/>
          <w:szCs w:val="24"/>
          <w:highlight w:val="none"/>
          <w:u w:val="single"/>
          <w:lang w:val="en-US" w:eastAsia="zh-CN"/>
        </w:rPr>
        <w:t>新能源产品试验检测中心充电桩采购项目</w:t>
      </w:r>
    </w:p>
    <w:p>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highlight w:val="yellow"/>
        </w:rPr>
        <w:t>二、建设地点：</w:t>
      </w:r>
      <w:r>
        <w:rPr>
          <w:rFonts w:hint="eastAsia" w:ascii="宋体" w:hAnsi="宋体" w:eastAsia="宋体" w:cs="宋体"/>
          <w:b/>
          <w:bCs/>
          <w:sz w:val="24"/>
          <w:szCs w:val="24"/>
          <w:highlight w:val="yellow"/>
          <w:u w:val="none"/>
          <w:lang w:val="en-US" w:eastAsia="zh-CN"/>
        </w:rPr>
        <w:t>莱芜新能源产品试验检测中心</w:t>
      </w:r>
      <w:r>
        <w:rPr>
          <w:rFonts w:hint="eastAsia" w:ascii="宋体" w:hAnsi="宋体" w:eastAsia="宋体" w:cs="宋体"/>
          <w:b/>
          <w:bCs/>
          <w:sz w:val="24"/>
          <w:szCs w:val="24"/>
          <w:highlight w:val="yellow"/>
        </w:rPr>
        <w:t>。</w:t>
      </w:r>
    </w:p>
    <w:p>
      <w:pPr>
        <w:spacing w:line="360" w:lineRule="auto"/>
        <w:outlineLvl w:val="3"/>
        <w:rPr>
          <w:rFonts w:ascii="宋体" w:hAnsi="宋体" w:eastAsia="宋体" w:cs="宋体"/>
          <w:sz w:val="24"/>
          <w:szCs w:val="24"/>
          <w:highlight w:val="yellow"/>
        </w:rPr>
      </w:pPr>
      <w:r>
        <w:rPr>
          <w:rFonts w:hint="eastAsia" w:ascii="宋体" w:hAnsi="宋体" w:eastAsia="宋体" w:cs="宋体"/>
          <w:sz w:val="24"/>
          <w:szCs w:val="24"/>
          <w:highlight w:val="yellow"/>
        </w:rPr>
        <w:t>三、使用地点：</w:t>
      </w:r>
      <w:r>
        <w:rPr>
          <w:rFonts w:hint="eastAsia" w:ascii="宋体" w:hAnsi="宋体" w:eastAsia="宋体" w:cs="宋体"/>
          <w:b/>
          <w:bCs/>
          <w:sz w:val="24"/>
          <w:szCs w:val="24"/>
          <w:highlight w:val="yellow"/>
          <w:u w:val="none"/>
          <w:lang w:val="en-US" w:eastAsia="zh-CN"/>
        </w:rPr>
        <w:t>莱芜新能源产品试验检测中心</w:t>
      </w:r>
      <w:r>
        <w:rPr>
          <w:rFonts w:hint="eastAsia" w:ascii="宋体" w:hAnsi="宋体" w:eastAsia="宋体" w:cs="宋体"/>
          <w:sz w:val="24"/>
          <w:szCs w:val="24"/>
          <w:highlight w:val="yellow"/>
        </w:rPr>
        <w:t>。</w:t>
      </w:r>
    </w:p>
    <w:p>
      <w:pPr>
        <w:spacing w:line="360" w:lineRule="auto"/>
        <w:outlineLvl w:val="3"/>
        <w:rPr>
          <w:rFonts w:hint="default" w:ascii="宋体" w:hAnsi="宋体" w:eastAsia="宋体" w:cs="宋体"/>
          <w:sz w:val="24"/>
          <w:szCs w:val="24"/>
          <w:lang w:val="en-US" w:eastAsia="zh-CN"/>
        </w:rPr>
      </w:pPr>
      <w:r>
        <w:rPr>
          <w:rFonts w:hint="eastAsia" w:ascii="宋体" w:hAnsi="宋体" w:eastAsia="宋体" w:cs="宋体"/>
          <w:sz w:val="24"/>
          <w:szCs w:val="24"/>
        </w:rPr>
        <w:t>四、工作制度：</w:t>
      </w:r>
      <w:r>
        <w:rPr>
          <w:rFonts w:hint="default" w:ascii="宋体" w:hAnsi="宋体" w:eastAsia="宋体"/>
          <w:bCs/>
          <w:sz w:val="24"/>
          <w:szCs w:val="24"/>
        </w:rPr>
        <w:t>全年工作274天、</w:t>
      </w:r>
      <w:r>
        <w:rPr>
          <w:rFonts w:hint="default" w:ascii="宋体" w:hAnsi="宋体" w:eastAsia="宋体"/>
          <w:bCs/>
          <w:sz w:val="24"/>
          <w:szCs w:val="24"/>
          <w:lang w:val="en-US" w:eastAsia="zh-CN"/>
        </w:rPr>
        <w:t>两</w:t>
      </w:r>
      <w:r>
        <w:rPr>
          <w:rFonts w:hint="default" w:ascii="宋体" w:hAnsi="宋体" w:eastAsia="宋体"/>
          <w:bCs/>
          <w:sz w:val="24"/>
          <w:szCs w:val="24"/>
        </w:rPr>
        <w:t>班制、设备年时基数</w:t>
      </w:r>
      <w:r>
        <w:rPr>
          <w:rFonts w:hint="default" w:ascii="宋体" w:hAnsi="宋体" w:eastAsia="宋体"/>
          <w:bCs/>
          <w:sz w:val="24"/>
          <w:szCs w:val="24"/>
          <w:lang w:val="en-US" w:eastAsia="zh-CN"/>
        </w:rPr>
        <w:t>4000</w:t>
      </w:r>
      <w:r>
        <w:rPr>
          <w:rFonts w:hint="default" w:ascii="宋体" w:hAnsi="宋体" w:eastAsia="宋体"/>
          <w:bCs/>
          <w:sz w:val="24"/>
          <w:szCs w:val="24"/>
        </w:rPr>
        <w:t>小时</w:t>
      </w:r>
      <w:r>
        <w:rPr>
          <w:rFonts w:hint="eastAsia" w:ascii="宋体" w:hAnsi="宋体" w:eastAsia="宋体" w:cs="宋体"/>
          <w:sz w:val="24"/>
          <w:szCs w:val="24"/>
          <w:lang w:val="en-US" w:eastAsia="zh-CN"/>
        </w:rPr>
        <w:t>。</w:t>
      </w:r>
    </w:p>
    <w:p>
      <w:pPr>
        <w:numPr>
          <w:ilvl w:val="0"/>
          <w:numId w:val="0"/>
        </w:numPr>
        <w:spacing w:line="360" w:lineRule="auto"/>
        <w:ind w:leftChars="0"/>
        <w:outlineLvl w:val="3"/>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使用地点区域自然环境：</w:t>
      </w:r>
    </w:p>
    <w:p>
      <w:pPr>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1.海拔高度：≤2000m；</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2.环境温度：室外极端最低温度-</w:t>
      </w:r>
      <w:r>
        <w:rPr>
          <w:rFonts w:hint="eastAsia" w:ascii="宋体" w:hAnsi="宋体" w:eastAsia="宋体" w:cs="宋体"/>
          <w:bCs/>
          <w:color w:val="auto"/>
          <w:sz w:val="24"/>
          <w:szCs w:val="24"/>
          <w:highlight w:val="none"/>
          <w:lang w:val="en-US" w:eastAsia="zh-CN"/>
        </w:rPr>
        <w:t>25</w:t>
      </w:r>
      <w:r>
        <w:rPr>
          <w:rFonts w:hint="eastAsia" w:ascii="宋体" w:hAnsi="宋体" w:eastAsia="宋体" w:cs="宋体"/>
          <w:bCs/>
          <w:color w:val="auto"/>
          <w:sz w:val="24"/>
          <w:szCs w:val="24"/>
          <w:highlight w:val="none"/>
        </w:rPr>
        <w:t>℃、极端最高温度</w:t>
      </w:r>
      <w:r>
        <w:rPr>
          <w:rFonts w:hint="eastAsia" w:ascii="宋体" w:hAnsi="宋体" w:eastAsia="宋体" w:cs="宋体"/>
          <w:bCs/>
          <w:color w:val="auto"/>
          <w:sz w:val="24"/>
          <w:szCs w:val="24"/>
          <w:highlight w:val="none"/>
          <w:lang w:val="en-US" w:eastAsia="zh-CN"/>
        </w:rPr>
        <w:t>45</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3.相对湿度：5％～95％</w:t>
      </w:r>
      <w:r>
        <w:rPr>
          <w:rFonts w:hint="eastAsia" w:ascii="宋体" w:hAnsi="宋体" w:eastAsia="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4</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大气压强：80kPa～110kPa</w:t>
      </w:r>
      <w:r>
        <w:rPr>
          <w:rFonts w:hint="eastAsia" w:ascii="宋体" w:hAnsi="宋体" w:eastAsia="宋体" w:cs="宋体"/>
          <w:bCs/>
          <w:color w:val="auto"/>
          <w:sz w:val="24"/>
          <w:szCs w:val="24"/>
          <w:highlight w:val="none"/>
          <w:lang w:eastAsia="zh-CN"/>
        </w:rPr>
        <w:t>；</w:t>
      </w:r>
    </w:p>
    <w:p>
      <w:pPr>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5.电力（600kW液冷直流充电桩）</w:t>
      </w:r>
      <w:r>
        <w:rPr>
          <w:rFonts w:hint="eastAsia" w:ascii="宋体" w:hAnsi="宋体" w:eastAsia="宋体" w:cs="宋体"/>
          <w:bCs/>
          <w:color w:val="auto"/>
          <w:sz w:val="24"/>
          <w:szCs w:val="24"/>
          <w:highlight w:val="none"/>
        </w:rPr>
        <w:t>：中国制式，380V±15％，供电频率45Hz～65Hz</w:t>
      </w:r>
      <w:r>
        <w:rPr>
          <w:rFonts w:hint="eastAsia" w:ascii="宋体" w:hAnsi="宋体" w:eastAsia="宋体" w:cs="宋体"/>
          <w:bCs/>
          <w:color w:val="auto"/>
          <w:sz w:val="24"/>
          <w:szCs w:val="24"/>
          <w:highlight w:val="none"/>
          <w:lang w:eastAsia="zh-CN"/>
        </w:rPr>
        <w:t>；</w:t>
      </w:r>
    </w:p>
    <w:p>
      <w:pPr>
        <w:spacing w:line="360" w:lineRule="auto"/>
        <w:ind w:firstLine="480"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pacing w:val="-2"/>
          <w:sz w:val="24"/>
          <w:szCs w:val="24"/>
          <w:highlight w:val="none"/>
        </w:rPr>
        <w:t>安装垂直倾斜度不超过5%</w:t>
      </w:r>
      <w:r>
        <w:rPr>
          <w:rFonts w:hint="eastAsia" w:ascii="宋体" w:hAnsi="宋体" w:eastAsia="宋体" w:cs="宋体"/>
          <w:color w:val="auto"/>
          <w:spacing w:val="-2"/>
          <w:sz w:val="24"/>
          <w:szCs w:val="24"/>
          <w:highlight w:val="none"/>
          <w:lang w:eastAsia="zh-CN"/>
        </w:rPr>
        <w:t>；</w:t>
      </w:r>
    </w:p>
    <w:p>
      <w:pPr>
        <w:spacing w:line="360" w:lineRule="auto"/>
        <w:ind w:firstLine="472"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使用地点不得有爆炸危险介质，周围不含有腐蚀性和破坏绝缘的</w:t>
      </w:r>
      <w:r>
        <w:rPr>
          <w:rFonts w:hint="eastAsia" w:ascii="宋体" w:hAnsi="宋体" w:eastAsia="宋体" w:cs="宋体"/>
          <w:color w:val="auto"/>
          <w:spacing w:val="-3"/>
          <w:sz w:val="24"/>
          <w:szCs w:val="24"/>
          <w:highlight w:val="none"/>
        </w:rPr>
        <w:t>有害气体及导电介质；</w:t>
      </w:r>
    </w:p>
    <w:p>
      <w:pPr>
        <w:spacing w:line="360" w:lineRule="auto"/>
        <w:ind w:firstLine="468"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lang w:val="en-US" w:eastAsia="zh-CN"/>
        </w:rPr>
        <w:t>8.</w:t>
      </w:r>
      <w:r>
        <w:rPr>
          <w:rFonts w:hint="eastAsia" w:ascii="宋体" w:hAnsi="宋体" w:eastAsia="宋体" w:cs="宋体"/>
          <w:color w:val="auto"/>
          <w:spacing w:val="-3"/>
          <w:sz w:val="24"/>
          <w:szCs w:val="24"/>
          <w:highlight w:val="none"/>
        </w:rPr>
        <w:t>使用地点无强烈振动和冲击，无强电磁干扰，外磁场感应强度不得超过0.5mT；</w:t>
      </w:r>
    </w:p>
    <w:p>
      <w:pPr>
        <w:spacing w:line="360" w:lineRule="auto"/>
        <w:ind w:firstLine="472" w:firstLineChars="200"/>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9.投标人提供的分体式充电设备相关性能参数应按实际安装地点的外部条件要求进行校验、核对，使所供设备满足实际外部条件要求及全工况运行要求。</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一、货物名称：600kW分体式直流充电系统（</w:t>
      </w:r>
      <w:r>
        <w:rPr>
          <w:rFonts w:hint="eastAsia" w:ascii="宋体" w:hAnsi="宋体" w:eastAsia="宋体" w:cs="宋体"/>
          <w:b/>
          <w:sz w:val="24"/>
          <w:szCs w:val="24"/>
          <w:highlight w:val="none"/>
        </w:rPr>
        <w:t>1机</w:t>
      </w:r>
      <w:r>
        <w:rPr>
          <w:rFonts w:hint="eastAsia" w:ascii="宋体" w:hAnsi="宋体" w:eastAsia="宋体" w:cs="宋体"/>
          <w:b/>
          <w:sz w:val="24"/>
          <w:szCs w:val="24"/>
          <w:highlight w:val="none"/>
          <w:lang w:val="en-US" w:eastAsia="zh-CN"/>
        </w:rPr>
        <w:t>2</w:t>
      </w:r>
      <w:r>
        <w:rPr>
          <w:rFonts w:hint="eastAsia" w:ascii="宋体" w:hAnsi="宋体" w:eastAsia="宋体" w:cs="宋体"/>
          <w:b/>
          <w:sz w:val="24"/>
          <w:szCs w:val="24"/>
          <w:highlight w:val="none"/>
        </w:rPr>
        <w:t>桩2枪</w:t>
      </w:r>
      <w:r>
        <w:rPr>
          <w:rFonts w:hint="eastAsia" w:ascii="宋体" w:hAnsi="宋体" w:eastAsia="宋体" w:cs="宋体"/>
          <w:b/>
          <w:sz w:val="24"/>
          <w:szCs w:val="24"/>
        </w:rPr>
        <w:t>）</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3套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7"/>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3841"/>
        <w:gridCol w:w="840"/>
        <w:gridCol w:w="820"/>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tcPr>
          <w:p>
            <w:pPr>
              <w:spacing w:line="360" w:lineRule="exact"/>
              <w:jc w:val="center"/>
              <w:rPr>
                <w:rFonts w:ascii="宋体" w:hAnsi="宋体" w:cs="宋体"/>
                <w:b/>
                <w:bCs/>
                <w:sz w:val="24"/>
                <w:szCs w:val="24"/>
              </w:rPr>
            </w:pPr>
            <w:r>
              <w:rPr>
                <w:rFonts w:hint="eastAsia" w:ascii="宋体" w:hAnsi="宋体" w:cs="宋体"/>
                <w:b/>
                <w:bCs/>
                <w:sz w:val="24"/>
                <w:szCs w:val="24"/>
              </w:rPr>
              <w:t>序号</w:t>
            </w:r>
          </w:p>
        </w:tc>
        <w:tc>
          <w:tcPr>
            <w:tcW w:w="3841" w:type="dxa"/>
          </w:tcPr>
          <w:p>
            <w:pPr>
              <w:spacing w:line="360" w:lineRule="exact"/>
              <w:jc w:val="center"/>
              <w:rPr>
                <w:rFonts w:ascii="宋体" w:hAnsi="宋体" w:cs="宋体"/>
                <w:b/>
                <w:bCs/>
                <w:sz w:val="24"/>
                <w:szCs w:val="24"/>
              </w:rPr>
            </w:pPr>
            <w:r>
              <w:rPr>
                <w:rFonts w:hint="eastAsia" w:ascii="宋体" w:hAnsi="宋体" w:cs="宋体"/>
                <w:b/>
                <w:bCs/>
                <w:sz w:val="24"/>
                <w:szCs w:val="24"/>
              </w:rPr>
              <w:t>名称</w:t>
            </w:r>
          </w:p>
        </w:tc>
        <w:tc>
          <w:tcPr>
            <w:tcW w:w="840" w:type="dxa"/>
          </w:tcPr>
          <w:p>
            <w:pPr>
              <w:spacing w:line="360" w:lineRule="exact"/>
              <w:jc w:val="center"/>
              <w:rPr>
                <w:rFonts w:ascii="宋体" w:hAnsi="宋体" w:cs="宋体"/>
                <w:b/>
                <w:bCs/>
                <w:sz w:val="24"/>
                <w:szCs w:val="24"/>
              </w:rPr>
            </w:pPr>
            <w:r>
              <w:rPr>
                <w:rFonts w:hint="eastAsia" w:ascii="宋体" w:hAnsi="宋体" w:cs="宋体"/>
                <w:b/>
                <w:bCs/>
                <w:sz w:val="24"/>
                <w:szCs w:val="24"/>
              </w:rPr>
              <w:t>单位</w:t>
            </w:r>
          </w:p>
        </w:tc>
        <w:tc>
          <w:tcPr>
            <w:tcW w:w="820" w:type="dxa"/>
          </w:tcPr>
          <w:p>
            <w:pPr>
              <w:spacing w:line="360" w:lineRule="exact"/>
              <w:jc w:val="center"/>
              <w:rPr>
                <w:rFonts w:ascii="宋体" w:hAnsi="宋体" w:cs="宋体"/>
                <w:b/>
                <w:bCs/>
                <w:sz w:val="24"/>
                <w:szCs w:val="24"/>
              </w:rPr>
            </w:pPr>
            <w:r>
              <w:rPr>
                <w:rFonts w:hint="eastAsia" w:ascii="宋体" w:hAnsi="宋体" w:cs="宋体"/>
                <w:b/>
                <w:bCs/>
                <w:sz w:val="24"/>
                <w:szCs w:val="24"/>
              </w:rPr>
              <w:t>数量</w:t>
            </w:r>
          </w:p>
        </w:tc>
        <w:tc>
          <w:tcPr>
            <w:tcW w:w="2634" w:type="dxa"/>
          </w:tcPr>
          <w:p>
            <w:pPr>
              <w:spacing w:line="360" w:lineRule="exact"/>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Align w:val="center"/>
          </w:tcPr>
          <w:p>
            <w:pPr>
              <w:spacing w:before="120" w:beforeLines="50"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841" w:type="dxa"/>
            <w:vAlign w:val="center"/>
          </w:tcPr>
          <w:p>
            <w:pPr>
              <w:spacing w:line="240" w:lineRule="auto"/>
              <w:jc w:val="center"/>
              <w:rPr>
                <w:rFonts w:hint="eastAsia" w:ascii="宋体" w:hAnsi="宋体" w:eastAsia="宋体" w:cs="宋体"/>
                <w:bCs/>
                <w:sz w:val="24"/>
                <w:szCs w:val="24"/>
              </w:rPr>
            </w:pPr>
            <w:r>
              <w:rPr>
                <w:rFonts w:hint="eastAsia" w:ascii="宋体" w:hAnsi="宋体" w:eastAsia="宋体" w:cs="宋体"/>
                <w:bCs/>
                <w:sz w:val="24"/>
                <w:szCs w:val="24"/>
              </w:rPr>
              <w:t>主机电源柜</w:t>
            </w:r>
          </w:p>
        </w:tc>
        <w:tc>
          <w:tcPr>
            <w:tcW w:w="840"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820"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634"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841" w:type="dxa"/>
            <w:vAlign w:val="center"/>
          </w:tcPr>
          <w:p>
            <w:pPr>
              <w:spacing w:line="240" w:lineRule="auto"/>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直流充电桩</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配1把液冷充电枪</w:t>
            </w:r>
            <w:r>
              <w:rPr>
                <w:rFonts w:hint="eastAsia" w:ascii="宋体" w:hAnsi="宋体" w:eastAsia="宋体" w:cs="宋体"/>
                <w:bCs/>
                <w:sz w:val="24"/>
                <w:szCs w:val="24"/>
                <w:highlight w:val="none"/>
                <w:lang w:eastAsia="zh-CN"/>
              </w:rPr>
              <w:t>）</w:t>
            </w:r>
          </w:p>
        </w:tc>
        <w:tc>
          <w:tcPr>
            <w:tcW w:w="840" w:type="dxa"/>
            <w:vAlign w:val="center"/>
          </w:tcPr>
          <w:p>
            <w:pPr>
              <w:spacing w:before="120" w:beforeLines="50"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台</w:t>
            </w:r>
          </w:p>
        </w:tc>
        <w:tc>
          <w:tcPr>
            <w:tcW w:w="820" w:type="dxa"/>
            <w:vAlign w:val="center"/>
          </w:tcPr>
          <w:p>
            <w:pPr>
              <w:spacing w:before="120" w:beforeLines="50"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634" w:type="dxa"/>
            <w:vAlign w:val="center"/>
          </w:tcPr>
          <w:p>
            <w:pPr>
              <w:spacing w:before="120" w:beforeLines="50"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841" w:type="dxa"/>
            <w:vAlign w:val="center"/>
          </w:tcPr>
          <w:p>
            <w:pPr>
              <w:spacing w:line="240" w:lineRule="auto"/>
              <w:jc w:val="center"/>
              <w:rPr>
                <w:rFonts w:hint="eastAsia" w:ascii="宋体" w:hAnsi="宋体" w:eastAsia="宋体" w:cs="宋体"/>
                <w:bCs/>
                <w:sz w:val="24"/>
                <w:szCs w:val="24"/>
              </w:rPr>
            </w:pPr>
            <w:r>
              <w:rPr>
                <w:rFonts w:hint="eastAsia" w:ascii="宋体" w:hAnsi="宋体" w:eastAsia="宋体" w:cs="宋体"/>
                <w:color w:val="auto"/>
                <w:spacing w:val="-1"/>
                <w:sz w:val="24"/>
                <w:szCs w:val="24"/>
                <w:highlight w:val="none"/>
                <w:lang w:eastAsia="zh-CN"/>
              </w:rPr>
              <w:t>充电运营管理云平台</w:t>
            </w:r>
          </w:p>
        </w:tc>
        <w:tc>
          <w:tcPr>
            <w:tcW w:w="840"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820"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634" w:type="dxa"/>
            <w:vAlign w:val="center"/>
          </w:tcPr>
          <w:p>
            <w:pPr>
              <w:spacing w:before="120" w:beforeLines="5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9"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9"/>
    </w:p>
    <w:p>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Calibri" w:cs="Times New Roman" w:eastAsiaTheme="minorEastAsia"/>
          <w:sz w:val="24"/>
          <w:szCs w:val="24"/>
          <w:lang w:eastAsia="zh-CN"/>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.投标人应保证所供货物的先进性、可靠性、经济性和实用性，并为全新货物（或设备）。此项目非常注重货期，欢迎投标方按照现货投标，投标方的现货必须为未使用的产品和设备</w:t>
      </w:r>
      <w:r>
        <w:rPr>
          <w:rFonts w:hint="eastAsia" w:ascii="宋体" w:hAnsi="宋体" w:eastAsia="宋体" w:cs="Times New Roman"/>
          <w:sz w:val="24"/>
          <w:szCs w:val="24"/>
          <w:lang w:eastAsia="zh-CN"/>
        </w:rPr>
        <w:t>。</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4"/>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jc w:val="left"/>
        <w:rPr>
          <w:rFonts w:hint="eastAsia" w:ascii="宋体" w:hAnsi="宋体" w:eastAsia="宋体" w:cs="宋体"/>
          <w:b/>
          <w:color w:val="auto"/>
          <w:sz w:val="24"/>
          <w:szCs w:val="24"/>
          <w:highlight w:val="none"/>
        </w:rPr>
      </w:pPr>
      <w:bookmarkStart w:id="40" w:name="_Toc169605881"/>
      <w:r>
        <w:rPr>
          <w:rFonts w:hint="eastAsia" w:ascii="宋体" w:hAnsi="宋体" w:eastAsia="宋体" w:cs="宋体"/>
          <w:b/>
          <w:color w:val="auto"/>
          <w:sz w:val="24"/>
          <w:szCs w:val="24"/>
          <w:highlight w:val="none"/>
        </w:rPr>
        <w:t>说明：本</w:t>
      </w:r>
      <w:r>
        <w:rPr>
          <w:rFonts w:hint="eastAsia" w:ascii="宋体" w:hAnsi="宋体" w:eastAsia="宋体" w:cs="宋体"/>
          <w:b/>
          <w:color w:val="auto"/>
          <w:sz w:val="24"/>
          <w:szCs w:val="24"/>
          <w:highlight w:val="none"/>
          <w:lang w:val="en-US" w:eastAsia="zh-CN"/>
        </w:rPr>
        <w:t>包</w:t>
      </w:r>
      <w:r>
        <w:rPr>
          <w:rFonts w:hint="eastAsia" w:ascii="宋体" w:hAnsi="宋体" w:eastAsia="宋体" w:cs="宋体"/>
          <w:b/>
          <w:color w:val="auto"/>
          <w:sz w:val="24"/>
          <w:szCs w:val="24"/>
          <w:highlight w:val="none"/>
        </w:rPr>
        <w:t>内容中凡标有“★”号的，均须无条件的满足，如果某个标题前标有“★”的，则该标题下的所有内容都须无条件的满足。</w:t>
      </w:r>
    </w:p>
    <w:p>
      <w:pPr>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分体式直流充电设备技术要求</w:t>
      </w:r>
    </w:p>
    <w:p>
      <w:pPr>
        <w:spacing w:line="360" w:lineRule="auto"/>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投标人提供的分体式直流充电设备主要技术参数及配置应符</w:t>
      </w:r>
      <w:r>
        <w:rPr>
          <w:rFonts w:hint="eastAsia" w:ascii="宋体" w:hAnsi="宋体" w:eastAsia="宋体" w:cs="宋体"/>
          <w:color w:val="auto"/>
          <w:spacing w:val="-2"/>
          <w:sz w:val="24"/>
          <w:szCs w:val="24"/>
          <w:highlight w:val="none"/>
        </w:rPr>
        <w:t>合下表：</w:t>
      </w: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color w:val="auto"/>
          <w:spacing w:val="-2"/>
          <w:sz w:val="24"/>
          <w:szCs w:val="24"/>
          <w:highlight w:val="none"/>
        </w:rPr>
        <w:t>表1  600kW分体式直流充电系统（1机</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rPr>
        <w:t>桩2枪）技术参数及配置要求</w:t>
      </w:r>
    </w:p>
    <w:tbl>
      <w:tblPr>
        <w:tblStyle w:val="37"/>
        <w:tblW w:w="5000"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049"/>
        <w:gridCol w:w="2586"/>
        <w:gridCol w:w="5651"/>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3635" w:type="dxa"/>
            <w:gridSpan w:val="2"/>
          </w:tcPr>
          <w:p>
            <w:pPr>
              <w:pStyle w:val="137"/>
              <w:keepNext w:val="0"/>
              <w:keepLines w:val="0"/>
              <w:pageBreakBefore w:val="0"/>
              <w:wordWrap/>
              <w:overflowPunct/>
              <w:topLinePunct w:val="0"/>
              <w:bidi w:val="0"/>
              <w:spacing w:line="240" w:lineRule="auto"/>
              <w:jc w:val="center"/>
              <w:rPr>
                <w:rFonts w:hint="default" w:ascii="Calibri" w:hAnsi="Calibri" w:eastAsia="华文细黑" w:cs="Calibri"/>
                <w:color w:val="auto"/>
                <w:sz w:val="24"/>
                <w:szCs w:val="24"/>
                <w:highlight w:val="none"/>
              </w:rPr>
            </w:pPr>
            <w:r>
              <w:rPr>
                <w:rFonts w:hint="default" w:ascii="Calibri" w:hAnsi="Calibri" w:eastAsia="华文细黑" w:cs="Calibri"/>
                <w:color w:val="auto"/>
                <w:spacing w:val="-1"/>
                <w:sz w:val="24"/>
                <w:szCs w:val="24"/>
                <w:highlight w:val="none"/>
              </w:rPr>
              <w:t>技术指标</w:t>
            </w:r>
          </w:p>
        </w:tc>
        <w:tc>
          <w:tcPr>
            <w:tcW w:w="5651" w:type="dxa"/>
          </w:tcPr>
          <w:p>
            <w:pPr>
              <w:pStyle w:val="137"/>
              <w:keepNext w:val="0"/>
              <w:keepLines w:val="0"/>
              <w:pageBreakBefore w:val="0"/>
              <w:wordWrap/>
              <w:overflowPunct/>
              <w:topLinePunct w:val="0"/>
              <w:bidi w:val="0"/>
              <w:spacing w:line="240" w:lineRule="auto"/>
              <w:jc w:val="center"/>
              <w:rPr>
                <w:rFonts w:hint="default" w:ascii="Calibri" w:hAnsi="Calibri" w:eastAsia="华文细黑" w:cs="Calibri"/>
                <w:color w:val="auto"/>
                <w:sz w:val="24"/>
                <w:szCs w:val="24"/>
                <w:highlight w:val="none"/>
              </w:rPr>
            </w:pPr>
            <w:r>
              <w:rPr>
                <w:rFonts w:hint="default" w:ascii="Calibri" w:hAnsi="Calibri" w:eastAsia="华文细黑" w:cs="Calibri"/>
                <w:color w:val="auto"/>
                <w:spacing w:val="-1"/>
                <w:sz w:val="24"/>
                <w:szCs w:val="24"/>
                <w:highlight w:val="none"/>
              </w:rPr>
              <w:t>技术参数及配置</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924" w:hRule="atLeast"/>
          <w:jc w:val="center"/>
        </w:trPr>
        <w:tc>
          <w:tcPr>
            <w:tcW w:w="1049" w:type="dxa"/>
            <w:vMerge w:val="restart"/>
            <w:vAlign w:val="center"/>
          </w:tcPr>
          <w:p>
            <w:pPr>
              <w:pStyle w:val="137"/>
              <w:keepNext w:val="0"/>
              <w:keepLines w:val="0"/>
              <w:pageBreakBefore w:val="0"/>
              <w:wordWrap/>
              <w:overflowPunct/>
              <w:topLinePunct w:val="0"/>
              <w:bidi w:val="0"/>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基本指标</w:t>
            </w: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主机电源柜</w:t>
            </w:r>
          </w:p>
        </w:tc>
        <w:tc>
          <w:tcPr>
            <w:tcW w:w="5651" w:type="dxa"/>
            <w:vAlign w:val="top"/>
          </w:tcPr>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pacing w:val="-17"/>
                <w:sz w:val="24"/>
                <w:szCs w:val="24"/>
                <w:lang w:eastAsia="zh-CN"/>
              </w:rPr>
              <w:t>装机功率：600kW</w:t>
            </w:r>
          </w:p>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pacing w:val="-17"/>
                <w:sz w:val="24"/>
                <w:szCs w:val="24"/>
                <w:lang w:eastAsia="zh-CN"/>
              </w:rPr>
              <w:t>安装方式：落地式</w:t>
            </w:r>
          </w:p>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lang w:eastAsia="zh-CN"/>
              </w:rPr>
              <w:t>具备动态功率分配功能</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403"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2"/>
                <w:sz w:val="24"/>
                <w:szCs w:val="24"/>
                <w:lang w:eastAsia="zh-CN"/>
              </w:rPr>
              <w:t>直流充电液冷终端</w:t>
            </w:r>
            <w:r>
              <w:rPr>
                <w:rFonts w:hint="eastAsia" w:ascii="宋体" w:hAnsi="宋体" w:eastAsia="宋体" w:cs="宋体"/>
                <w:color w:val="auto"/>
                <w:spacing w:val="-4"/>
                <w:sz w:val="24"/>
                <w:szCs w:val="24"/>
                <w:lang w:eastAsia="zh-CN"/>
              </w:rPr>
              <w:t>（充电桩）</w:t>
            </w:r>
          </w:p>
        </w:tc>
        <w:tc>
          <w:tcPr>
            <w:tcW w:w="5651" w:type="dxa"/>
            <w:vAlign w:val="top"/>
          </w:tcPr>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pacing w:val="-7"/>
                <w:sz w:val="24"/>
                <w:szCs w:val="24"/>
                <w:lang w:eastAsia="zh-CN"/>
              </w:rPr>
              <w:t>充电终端数量：</w:t>
            </w:r>
            <w:r>
              <w:rPr>
                <w:rFonts w:hint="eastAsia" w:ascii="宋体" w:hAnsi="宋体" w:eastAsia="宋体" w:cs="宋体"/>
                <w:color w:val="auto"/>
                <w:spacing w:val="-7"/>
                <w:sz w:val="24"/>
                <w:szCs w:val="24"/>
                <w:highlight w:val="none"/>
                <w:lang w:eastAsia="zh-CN"/>
              </w:rPr>
              <w:t>1机</w:t>
            </w:r>
            <w:r>
              <w:rPr>
                <w:rFonts w:hint="eastAsia" w:ascii="宋体" w:hAnsi="宋体" w:eastAsia="宋体" w:cs="宋体"/>
                <w:color w:val="auto"/>
                <w:spacing w:val="-7"/>
                <w:sz w:val="24"/>
                <w:szCs w:val="24"/>
                <w:highlight w:val="none"/>
                <w:lang w:val="en-US" w:eastAsia="zh-CN"/>
              </w:rPr>
              <w:t>2</w:t>
            </w:r>
            <w:r>
              <w:rPr>
                <w:rFonts w:hint="eastAsia" w:ascii="宋体" w:hAnsi="宋体" w:eastAsia="宋体" w:cs="宋体"/>
                <w:color w:val="auto"/>
                <w:spacing w:val="-7"/>
                <w:sz w:val="24"/>
                <w:szCs w:val="24"/>
                <w:highlight w:val="none"/>
                <w:lang w:eastAsia="zh-CN"/>
              </w:rPr>
              <w:t>桩,其中1个桩</w:t>
            </w:r>
            <w:r>
              <w:rPr>
                <w:rFonts w:hint="eastAsia" w:ascii="宋体" w:hAnsi="宋体" w:eastAsia="宋体" w:cs="宋体"/>
                <w:color w:val="auto"/>
                <w:spacing w:val="-8"/>
                <w:sz w:val="24"/>
                <w:szCs w:val="24"/>
                <w:highlight w:val="none"/>
                <w:lang w:eastAsia="zh-CN"/>
              </w:rPr>
              <w:t>对应</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12"/>
                <w:sz w:val="24"/>
                <w:szCs w:val="24"/>
                <w:highlight w:val="none"/>
                <w:lang w:eastAsia="zh-CN"/>
              </w:rPr>
              <w:t>个枪</w:t>
            </w:r>
          </w:p>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val="en-US" w:eastAsia="zh-CN"/>
              </w:rPr>
              <w:t>单枪</w:t>
            </w:r>
            <w:r>
              <w:rPr>
                <w:rFonts w:hint="eastAsia" w:ascii="宋体" w:hAnsi="宋体" w:eastAsia="宋体" w:cs="宋体"/>
                <w:color w:val="auto"/>
                <w:spacing w:val="-1"/>
                <w:sz w:val="24"/>
                <w:szCs w:val="24"/>
                <w:lang w:eastAsia="zh-CN"/>
              </w:rPr>
              <w:t>最大输出功率：600kW</w:t>
            </w:r>
          </w:p>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单枪</w:t>
            </w:r>
            <w:r>
              <w:rPr>
                <w:rFonts w:hint="eastAsia" w:ascii="宋体" w:hAnsi="宋体" w:eastAsia="宋体" w:cs="宋体"/>
                <w:color w:val="auto"/>
                <w:sz w:val="24"/>
                <w:szCs w:val="24"/>
                <w:lang w:eastAsia="zh-CN"/>
              </w:rPr>
              <w:t>最大输出电流：DC600A</w:t>
            </w:r>
          </w:p>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7"/>
                <w:sz w:val="24"/>
                <w:szCs w:val="24"/>
                <w:lang w:eastAsia="zh-CN"/>
              </w:rPr>
              <w:t>安装方式：落地式</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充电模块</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eastAsia="zh-CN"/>
              </w:rPr>
              <w:t>单模块额定输出功率</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0kW（恒功率模块）</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充电方式</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lang w:eastAsia="zh-CN"/>
              </w:rPr>
              <w:t>支持刷卡、扫码等方式</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lang w:val="en-US" w:eastAsia="zh-CN"/>
              </w:rPr>
              <w:t>主机电源柜</w:t>
            </w:r>
            <w:r>
              <w:rPr>
                <w:rFonts w:hint="eastAsia" w:ascii="宋体" w:hAnsi="宋体" w:eastAsia="宋体" w:cs="宋体"/>
                <w:color w:val="auto"/>
                <w:spacing w:val="-1"/>
                <w:sz w:val="24"/>
                <w:szCs w:val="24"/>
              </w:rPr>
              <w:t>散热方式</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强制风冷</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通讯方式</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以太网、</w:t>
            </w:r>
            <w:r>
              <w:rPr>
                <w:rFonts w:hint="eastAsia" w:ascii="宋体" w:hAnsi="宋体" w:eastAsia="宋体" w:cs="宋体"/>
                <w:color w:val="auto"/>
                <w:spacing w:val="-21"/>
                <w:sz w:val="24"/>
                <w:szCs w:val="24"/>
                <w:highlight w:val="none"/>
                <w:lang w:val="en-US" w:eastAsia="zh-CN"/>
              </w:rPr>
              <w:t>4</w:t>
            </w:r>
            <w:r>
              <w:rPr>
                <w:rFonts w:hint="eastAsia" w:ascii="宋体" w:hAnsi="宋体" w:eastAsia="宋体" w:cs="宋体"/>
                <w:color w:val="auto"/>
                <w:spacing w:val="-21"/>
                <w:sz w:val="24"/>
                <w:szCs w:val="24"/>
                <w:highlight w:val="none"/>
              </w:rPr>
              <w:t>G</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使用环境</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lang w:val="en-US" w:eastAsia="zh-CN"/>
              </w:rPr>
              <w:t>济南地区</w:t>
            </w:r>
            <w:r>
              <w:rPr>
                <w:rFonts w:hint="eastAsia" w:ascii="宋体" w:hAnsi="宋体" w:eastAsia="宋体" w:cs="宋体"/>
                <w:color w:val="auto"/>
                <w:spacing w:val="-1"/>
                <w:sz w:val="24"/>
                <w:szCs w:val="24"/>
              </w:rPr>
              <w:t>室外（IP54）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restart"/>
            <w:vAlign w:val="center"/>
          </w:tcPr>
          <w:p>
            <w:pPr>
              <w:pStyle w:val="137"/>
              <w:keepNext w:val="0"/>
              <w:keepLines w:val="0"/>
              <w:pageBreakBefore w:val="0"/>
              <w:wordWrap/>
              <w:overflowPunct/>
              <w:topLinePunct w:val="0"/>
              <w:bidi w:val="0"/>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输入特性</w:t>
            </w: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输入电压</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AC380V±15%，三相五线</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频率</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45Hz-65Hz</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功率因数</w:t>
            </w:r>
          </w:p>
        </w:tc>
        <w:tc>
          <w:tcPr>
            <w:tcW w:w="5651" w:type="dxa"/>
            <w:vAlign w:val="top"/>
          </w:tcPr>
          <w:p>
            <w:pPr>
              <w:pStyle w:val="137"/>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5"/>
                <w:sz w:val="24"/>
                <w:szCs w:val="24"/>
                <w:highlight w:val="none"/>
              </w:rPr>
              <w:t>≥0.98</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谐波</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lang w:eastAsia="zh-CN"/>
              </w:rPr>
              <w:t>≤5%（充电模块自带滤波功能）</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restart"/>
            <w:vAlign w:val="center"/>
          </w:tcPr>
          <w:p>
            <w:pPr>
              <w:pStyle w:val="137"/>
              <w:keepNext w:val="0"/>
              <w:keepLines w:val="0"/>
              <w:pageBreakBefore w:val="0"/>
              <w:wordWrap/>
              <w:overflowPunct/>
              <w:topLinePunct w:val="0"/>
              <w:bidi w:val="0"/>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输出特性</w:t>
            </w: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输出电压范围</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直流</w:t>
            </w:r>
            <w:r>
              <w:rPr>
                <w:rFonts w:hint="eastAsia" w:ascii="宋体" w:hAnsi="宋体" w:eastAsia="宋体" w:cs="宋体"/>
                <w:color w:val="auto"/>
                <w:spacing w:val="-1"/>
                <w:sz w:val="24"/>
                <w:szCs w:val="24"/>
                <w:lang w:val="en-US" w:eastAsia="zh-CN"/>
              </w:rPr>
              <w:t>50</w:t>
            </w:r>
            <w:r>
              <w:rPr>
                <w:rFonts w:hint="eastAsia" w:ascii="宋体" w:hAnsi="宋体" w:eastAsia="宋体" w:cs="宋体"/>
                <w:color w:val="auto"/>
                <w:spacing w:val="-1"/>
                <w:sz w:val="24"/>
                <w:szCs w:val="24"/>
              </w:rPr>
              <w:t>V-1000V 连续可调</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恒功率范围</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直流300V-1000V</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
                <w:sz w:val="24"/>
                <w:szCs w:val="24"/>
                <w:highlight w:val="none"/>
              </w:rPr>
              <w:t>连续可调</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最大电流</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单枪：DC600A；</w:t>
            </w:r>
            <w:r>
              <w:rPr>
                <w:rFonts w:hint="eastAsia" w:ascii="宋体" w:hAnsi="宋体" w:eastAsia="宋体" w:cs="宋体"/>
                <w:color w:val="auto"/>
                <w:spacing w:val="-7"/>
                <w:sz w:val="24"/>
                <w:szCs w:val="24"/>
                <w:highlight w:val="none"/>
                <w:lang w:eastAsia="zh-CN"/>
              </w:rPr>
              <w:t>（</w:t>
            </w:r>
            <w:r>
              <w:rPr>
                <w:rFonts w:hint="eastAsia" w:ascii="宋体" w:hAnsi="宋体" w:eastAsia="宋体" w:cs="宋体"/>
                <w:color w:val="auto"/>
                <w:spacing w:val="-7"/>
                <w:sz w:val="24"/>
                <w:szCs w:val="24"/>
                <w:highlight w:val="none"/>
                <w:lang w:val="en-US" w:eastAsia="zh-CN"/>
              </w:rPr>
              <w:t>新国标要求800A</w:t>
            </w:r>
            <w:r>
              <w:rPr>
                <w:rFonts w:hint="eastAsia" w:ascii="宋体" w:hAnsi="宋体" w:eastAsia="宋体" w:cs="宋体"/>
                <w:color w:val="auto"/>
                <w:spacing w:val="-7"/>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峰值效率</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≥95%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输出电压误差</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rPr>
              <w:t>≤±0.5%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输出电流误差</w:t>
            </w:r>
          </w:p>
        </w:tc>
        <w:tc>
          <w:tcPr>
            <w:tcW w:w="5651" w:type="dxa"/>
            <w:vAlign w:val="top"/>
          </w:tcPr>
          <w:p>
            <w:pPr>
              <w:pStyle w:val="137"/>
              <w:spacing w:line="240" w:lineRule="auto"/>
              <w:rPr>
                <w:rFonts w:hint="eastAsia" w:ascii="宋体" w:hAnsi="宋体" w:eastAsia="宋体" w:cs="宋体"/>
                <w:color w:val="auto"/>
                <w:spacing w:val="-14"/>
                <w:sz w:val="24"/>
                <w:szCs w:val="24"/>
                <w:lang w:eastAsia="zh-CN"/>
              </w:rPr>
            </w:pPr>
            <w:r>
              <w:rPr>
                <w:rFonts w:hint="eastAsia" w:ascii="宋体" w:hAnsi="宋体" w:eastAsia="宋体" w:cs="宋体"/>
                <w:color w:val="auto"/>
                <w:spacing w:val="-5"/>
                <w:sz w:val="24"/>
                <w:szCs w:val="24"/>
              </w:rPr>
              <w:t>≥30A时，≤±1%</w:t>
            </w:r>
            <w:r>
              <w:rPr>
                <w:rFonts w:hint="eastAsia" w:ascii="宋体" w:hAnsi="宋体" w:eastAsia="宋体" w:cs="宋体"/>
                <w:color w:val="auto"/>
                <w:spacing w:val="-14"/>
                <w:sz w:val="24"/>
                <w:szCs w:val="24"/>
              </w:rPr>
              <w:t>；</w:t>
            </w:r>
          </w:p>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rPr>
              <w:t>＜</w:t>
            </w:r>
            <w:r>
              <w:rPr>
                <w:rFonts w:hint="eastAsia" w:ascii="宋体" w:hAnsi="宋体" w:eastAsia="宋体" w:cs="宋体"/>
                <w:color w:val="auto"/>
                <w:spacing w:val="-5"/>
                <w:sz w:val="24"/>
                <w:szCs w:val="24"/>
              </w:rPr>
              <w:t>30A时，≤±</w:t>
            </w:r>
            <w:r>
              <w:rPr>
                <w:rFonts w:hint="eastAsia" w:ascii="宋体" w:hAnsi="宋体" w:eastAsia="宋体" w:cs="宋体"/>
                <w:color w:val="auto"/>
                <w:spacing w:val="-6"/>
                <w:sz w:val="24"/>
                <w:szCs w:val="24"/>
              </w:rPr>
              <w:t>0.3A</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稳压精度</w:t>
            </w:r>
          </w:p>
        </w:tc>
        <w:tc>
          <w:tcPr>
            <w:tcW w:w="5651" w:type="dxa"/>
            <w:vAlign w:val="top"/>
          </w:tcPr>
          <w:p>
            <w:pPr>
              <w:pStyle w:val="137"/>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3"/>
                <w:sz w:val="24"/>
                <w:szCs w:val="24"/>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稳流精度</w:t>
            </w:r>
          </w:p>
        </w:tc>
        <w:tc>
          <w:tcPr>
            <w:tcW w:w="5651" w:type="dxa"/>
            <w:vAlign w:val="top"/>
          </w:tcPr>
          <w:p>
            <w:pPr>
              <w:pStyle w:val="137"/>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5"/>
                <w:sz w:val="24"/>
                <w:szCs w:val="24"/>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纹波峰峰值</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模块均流不平衡度</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restart"/>
            <w:vAlign w:val="center"/>
          </w:tcPr>
          <w:p>
            <w:pPr>
              <w:pStyle w:val="137"/>
              <w:keepNext w:val="0"/>
              <w:keepLines w:val="0"/>
              <w:pageBreakBefore w:val="0"/>
              <w:wordWrap/>
              <w:overflowPunct/>
              <w:topLinePunct w:val="0"/>
              <w:bidi w:val="0"/>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环境指标</w:t>
            </w: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工作温度</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-20~50℃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存储温度</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-40~70℃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相对湿度</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5~95%RH，无冷凝</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海拔高度</w:t>
            </w:r>
          </w:p>
        </w:tc>
        <w:tc>
          <w:tcPr>
            <w:tcW w:w="5651" w:type="dxa"/>
            <w:vAlign w:val="top"/>
          </w:tcPr>
          <w:p>
            <w:pPr>
              <w:pStyle w:val="137"/>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rPr>
              <w:t>≤2000m无需降额</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restart"/>
            <w:vAlign w:val="center"/>
          </w:tcPr>
          <w:p>
            <w:pPr>
              <w:pStyle w:val="137"/>
              <w:keepNext w:val="0"/>
              <w:keepLines w:val="0"/>
              <w:pageBreakBefore w:val="0"/>
              <w:wordWrap/>
              <w:overflowPunct/>
              <w:topLinePunct w:val="0"/>
              <w:bidi w:val="0"/>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其他</w:t>
            </w: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低压辅助电源</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lang w:eastAsia="zh-CN"/>
              </w:rPr>
              <w:t>兼容新老国标车充电，辅助电源12V/24V可切换</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675"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eastAsia" w:ascii="宋体" w:hAnsi="宋体" w:eastAsia="宋体" w:cs="宋体"/>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1"/>
                <w:sz w:val="24"/>
                <w:szCs w:val="24"/>
                <w:lang w:eastAsia="zh-CN"/>
              </w:rPr>
              <w:t>主动防止电池过</w:t>
            </w:r>
            <w:r>
              <w:rPr>
                <w:rFonts w:hint="eastAsia" w:ascii="宋体" w:hAnsi="宋体" w:eastAsia="宋体" w:cs="宋体"/>
                <w:color w:val="auto"/>
                <w:spacing w:val="-1"/>
                <w:sz w:val="24"/>
                <w:szCs w:val="24"/>
                <w:lang w:eastAsia="zh-CN"/>
              </w:rPr>
              <w:t>充的功能检验</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lang w:eastAsia="zh-CN"/>
              </w:rPr>
              <w:t>充电桩根据 BMS 需求的电压和电流，正常给蓄电池</w:t>
            </w:r>
            <w:r>
              <w:rPr>
                <w:rFonts w:hint="eastAsia" w:ascii="宋体" w:hAnsi="宋体" w:eastAsia="宋体" w:cs="宋体"/>
                <w:color w:val="auto"/>
                <w:spacing w:val="1"/>
                <w:sz w:val="24"/>
                <w:szCs w:val="24"/>
                <w:lang w:eastAsia="zh-CN"/>
              </w:rPr>
              <w:t xml:space="preserve">进行充电，当充电桩接收到 </w:t>
            </w:r>
            <w:r>
              <w:rPr>
                <w:rFonts w:hint="eastAsia" w:ascii="宋体" w:hAnsi="宋体" w:eastAsia="宋体" w:cs="宋体"/>
                <w:color w:val="auto"/>
                <w:sz w:val="24"/>
                <w:szCs w:val="24"/>
                <w:lang w:eastAsia="zh-CN"/>
              </w:rPr>
              <w:t>BMS</w:t>
            </w:r>
            <w:r>
              <w:rPr>
                <w:rFonts w:hint="eastAsia" w:ascii="宋体" w:hAnsi="宋体" w:eastAsia="宋体" w:cs="宋体"/>
                <w:color w:val="auto"/>
                <w:spacing w:val="1"/>
                <w:sz w:val="24"/>
                <w:szCs w:val="24"/>
                <w:lang w:eastAsia="zh-CN"/>
              </w:rPr>
              <w:t xml:space="preserve"> 传来汽车电池状态</w:t>
            </w:r>
            <w:r>
              <w:rPr>
                <w:rFonts w:hint="eastAsia" w:ascii="宋体" w:hAnsi="宋体" w:eastAsia="宋体" w:cs="宋体"/>
                <w:color w:val="auto"/>
                <w:spacing w:val="-5"/>
                <w:sz w:val="24"/>
                <w:szCs w:val="24"/>
                <w:lang w:eastAsia="zh-CN"/>
              </w:rPr>
              <w:t>信息判断蓄电池 SOC 达到100%（或</w:t>
            </w:r>
            <w:r>
              <w:rPr>
                <w:rFonts w:hint="eastAsia" w:ascii="宋体" w:hAnsi="宋体" w:eastAsia="宋体" w:cs="宋体"/>
                <w:color w:val="auto"/>
                <w:spacing w:val="-6"/>
                <w:sz w:val="24"/>
                <w:szCs w:val="24"/>
                <w:lang w:eastAsia="zh-CN"/>
              </w:rPr>
              <w:t>其他充电桩设</w:t>
            </w:r>
            <w:r>
              <w:rPr>
                <w:rFonts w:hint="eastAsia" w:ascii="宋体" w:hAnsi="宋体" w:eastAsia="宋体" w:cs="宋体"/>
                <w:color w:val="auto"/>
                <w:spacing w:val="-4"/>
                <w:sz w:val="24"/>
                <w:szCs w:val="24"/>
                <w:lang w:eastAsia="zh-CN"/>
              </w:rPr>
              <w:t>定值）或者汽车电池单体电池电压达到汽车蓄电池参数要求的情况下，查看充电桩是否立即停止对蓄电池</w:t>
            </w:r>
            <w:r>
              <w:rPr>
                <w:rFonts w:hint="eastAsia" w:ascii="宋体" w:hAnsi="宋体" w:eastAsia="宋体" w:cs="宋体"/>
                <w:color w:val="auto"/>
                <w:spacing w:val="-1"/>
                <w:sz w:val="24"/>
                <w:szCs w:val="24"/>
                <w:lang w:eastAsia="zh-CN"/>
              </w:rPr>
              <w:t>充电的工作。</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4"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充电枪</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lang w:eastAsia="zh-CN"/>
              </w:rPr>
              <w:t>10</w:t>
            </w:r>
            <w:r>
              <w:rPr>
                <w:rFonts w:hint="eastAsia" w:ascii="宋体" w:hAnsi="宋体" w:eastAsia="宋体" w:cs="宋体"/>
                <w:color w:val="auto"/>
                <w:spacing w:val="-2"/>
                <w:sz w:val="24"/>
                <w:szCs w:val="24"/>
                <w:highlight w:val="none"/>
                <w:lang w:eastAsia="zh-CN"/>
              </w:rPr>
              <w:t>00V/600A</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充电接口标准</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lang w:eastAsia="zh-CN"/>
              </w:rPr>
              <w:t>符合GB/T 20234.3</w:t>
            </w:r>
            <w:r>
              <w:rPr>
                <w:rFonts w:hint="eastAsia" w:ascii="宋体" w:hAnsi="宋体" w:eastAsia="宋体" w:cs="宋体"/>
                <w:color w:val="auto"/>
                <w:spacing w:val="-2"/>
                <w:sz w:val="24"/>
                <w:szCs w:val="24"/>
                <w:lang w:val="en-US" w:eastAsia="zh-CN"/>
              </w:rPr>
              <w:t>-</w:t>
            </w:r>
            <w:r>
              <w:rPr>
                <w:rFonts w:hint="eastAsia" w:ascii="宋体" w:hAnsi="宋体" w:eastAsia="宋体" w:cs="宋体"/>
                <w:color w:val="auto"/>
                <w:spacing w:val="-2"/>
                <w:sz w:val="24"/>
                <w:szCs w:val="24"/>
                <w:lang w:eastAsia="zh-CN"/>
              </w:rPr>
              <w:t>20</w:t>
            </w:r>
            <w:r>
              <w:rPr>
                <w:rFonts w:hint="eastAsia" w:ascii="宋体" w:hAnsi="宋体" w:eastAsia="宋体" w:cs="宋体"/>
                <w:color w:val="auto"/>
                <w:spacing w:val="-2"/>
                <w:sz w:val="24"/>
                <w:szCs w:val="24"/>
                <w:lang w:val="en-US" w:eastAsia="zh-CN"/>
              </w:rPr>
              <w:t>23</w:t>
            </w:r>
            <w:r>
              <w:rPr>
                <w:rFonts w:hint="eastAsia" w:ascii="宋体" w:hAnsi="宋体" w:eastAsia="宋体" w:cs="宋体"/>
                <w:color w:val="auto"/>
                <w:spacing w:val="-2"/>
                <w:sz w:val="24"/>
                <w:szCs w:val="24"/>
                <w:lang w:eastAsia="zh-CN"/>
              </w:rPr>
              <w:t>标准，</w:t>
            </w:r>
            <w:r>
              <w:rPr>
                <w:rFonts w:hint="eastAsia" w:ascii="宋体" w:hAnsi="宋体" w:eastAsia="宋体" w:cs="宋体"/>
                <w:color w:val="auto"/>
                <w:spacing w:val="-2"/>
                <w:sz w:val="24"/>
                <w:szCs w:val="24"/>
                <w:highlight w:val="none"/>
                <w:lang w:eastAsia="zh-CN"/>
              </w:rPr>
              <w:t>兼容201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lang w:eastAsia="zh-CN"/>
              </w:rPr>
              <w:t>版标准</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rPr>
              <w:t>通讯协议</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5"/>
                <w:sz w:val="24"/>
                <w:szCs w:val="24"/>
                <w:highlight w:val="yellow"/>
                <w:shd w:val="clear" w:fill="FFFFFF" w:themeFill="background1"/>
              </w:rPr>
              <w:t>CAN(符合GB/T27930</w:t>
            </w:r>
            <w:r>
              <w:rPr>
                <w:rFonts w:hint="eastAsia" w:ascii="宋体" w:hAnsi="宋体" w:eastAsia="宋体" w:cs="宋体"/>
                <w:color w:val="auto"/>
                <w:spacing w:val="-5"/>
                <w:sz w:val="24"/>
                <w:szCs w:val="24"/>
                <w:highlight w:val="yellow"/>
                <w:shd w:val="clear" w:fill="FFFFFF" w:themeFill="background1"/>
                <w:lang w:val="en-US" w:eastAsia="zh-CN"/>
              </w:rPr>
              <w:t>-</w:t>
            </w:r>
            <w:r>
              <w:rPr>
                <w:rFonts w:hint="eastAsia" w:ascii="宋体" w:hAnsi="宋体" w:eastAsia="宋体" w:cs="宋体"/>
                <w:color w:val="auto"/>
                <w:spacing w:val="-5"/>
                <w:sz w:val="24"/>
                <w:szCs w:val="24"/>
                <w:highlight w:val="yellow"/>
                <w:shd w:val="clear" w:fill="FFFFFF" w:themeFill="background1"/>
              </w:rPr>
              <w:t>2015标准</w:t>
            </w:r>
            <w:r>
              <w:rPr>
                <w:rFonts w:hint="eastAsia" w:eastAsia="宋体" w:cs="宋体"/>
                <w:color w:val="auto"/>
                <w:spacing w:val="-5"/>
                <w:sz w:val="24"/>
                <w:szCs w:val="24"/>
                <w:highlight w:val="yellow"/>
                <w:shd w:val="clear" w:fill="FFFFFF" w:themeFill="background1"/>
                <w:lang w:eastAsia="zh-CN"/>
              </w:rPr>
              <w:t>）</w:t>
            </w:r>
            <w:r>
              <w:rPr>
                <w:rFonts w:hint="eastAsia"/>
                <w:highlight w:val="yellow"/>
                <w:shd w:val="clear" w:fill="FFFFFF" w:themeFill="background1"/>
                <w:lang w:val="en-US" w:eastAsia="zh-CN"/>
              </w:rPr>
              <w:t>兼容</w:t>
            </w:r>
            <w:r>
              <w:rPr>
                <w:rFonts w:hint="eastAsia" w:ascii="宋体" w:hAnsi="宋体" w:eastAsia="宋体" w:cs="宋体"/>
                <w:color w:val="auto"/>
                <w:spacing w:val="-2"/>
                <w:sz w:val="24"/>
                <w:szCs w:val="24"/>
                <w:highlight w:val="yellow"/>
                <w:shd w:val="clear" w:fill="FFFFFF" w:themeFill="background1"/>
                <w:lang w:eastAsia="zh-CN"/>
              </w:rPr>
              <w:t>20</w:t>
            </w:r>
            <w:r>
              <w:rPr>
                <w:rFonts w:hint="eastAsia" w:eastAsia="宋体" w:cs="宋体"/>
                <w:color w:val="auto"/>
                <w:spacing w:val="-2"/>
                <w:sz w:val="24"/>
                <w:szCs w:val="24"/>
                <w:highlight w:val="yellow"/>
                <w:shd w:val="clear" w:fill="FFFFFF" w:themeFill="background1"/>
                <w:lang w:val="en-US" w:eastAsia="zh-CN"/>
              </w:rPr>
              <w:t>23</w:t>
            </w:r>
            <w:r>
              <w:rPr>
                <w:rFonts w:hint="eastAsia" w:ascii="宋体" w:hAnsi="宋体" w:eastAsia="宋体" w:cs="宋体"/>
                <w:color w:val="auto"/>
                <w:spacing w:val="-2"/>
                <w:sz w:val="24"/>
                <w:szCs w:val="24"/>
                <w:highlight w:val="yellow"/>
                <w:shd w:val="clear" w:fill="FFFFFF" w:themeFill="background1"/>
                <w:lang w:eastAsia="zh-CN"/>
              </w:rPr>
              <w:t>版标准</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439"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1"/>
                <w:sz w:val="24"/>
                <w:szCs w:val="24"/>
                <w:lang w:eastAsia="zh-CN"/>
              </w:rPr>
              <w:t>综合监控与运营</w:t>
            </w:r>
            <w:r>
              <w:rPr>
                <w:rFonts w:hint="eastAsia" w:ascii="宋体" w:hAnsi="宋体" w:eastAsia="宋体" w:cs="宋体"/>
                <w:color w:val="auto"/>
                <w:spacing w:val="-2"/>
                <w:sz w:val="24"/>
                <w:szCs w:val="24"/>
                <w:lang w:eastAsia="zh-CN"/>
              </w:rPr>
              <w:t>管理云平台</w:t>
            </w:r>
          </w:p>
        </w:tc>
        <w:tc>
          <w:tcPr>
            <w:tcW w:w="5651" w:type="dxa"/>
            <w:vAlign w:val="top"/>
          </w:tcPr>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rPr>
              <w:t>1</w:t>
            </w:r>
            <w:r>
              <w:rPr>
                <w:rFonts w:hint="eastAsia" w:eastAsia="宋体" w:cs="宋体"/>
                <w:color w:val="auto"/>
                <w:spacing w:val="-1"/>
                <w:sz w:val="24"/>
                <w:szCs w:val="24"/>
                <w:lang w:val="en-US" w:eastAsia="zh-CN"/>
              </w:rPr>
              <w:t>.</w:t>
            </w:r>
            <w:r>
              <w:rPr>
                <w:rFonts w:hint="eastAsia" w:ascii="宋体" w:hAnsi="宋体" w:eastAsia="宋体" w:cs="宋体"/>
                <w:color w:val="auto"/>
                <w:spacing w:val="-1"/>
                <w:sz w:val="24"/>
                <w:szCs w:val="24"/>
                <w:lang w:eastAsia="zh-CN"/>
              </w:rPr>
              <w:t>所供设备须免费接入招标人</w:t>
            </w:r>
            <w:r>
              <w:rPr>
                <w:rFonts w:hint="eastAsia" w:ascii="宋体" w:hAnsi="宋体" w:eastAsia="宋体" w:cs="宋体"/>
                <w:color w:val="auto"/>
                <w:spacing w:val="-1"/>
                <w:sz w:val="24"/>
                <w:szCs w:val="24"/>
                <w:highlight w:val="none"/>
                <w:lang w:eastAsia="zh-CN"/>
              </w:rPr>
              <w:t>充电运营管理云平台（现有及后续开发平台</w:t>
            </w:r>
            <w:r>
              <w:rPr>
                <w:rFonts w:hint="eastAsia" w:ascii="宋体" w:hAnsi="宋体" w:eastAsia="宋体" w:cs="宋体"/>
                <w:color w:val="auto"/>
                <w:spacing w:val="-32"/>
                <w:sz w:val="24"/>
                <w:szCs w:val="24"/>
                <w:highlight w:val="none"/>
                <w:lang w:eastAsia="zh-CN"/>
              </w:rPr>
              <w:t>），</w:t>
            </w:r>
            <w:r>
              <w:rPr>
                <w:rFonts w:hint="eastAsia" w:ascii="宋体" w:hAnsi="宋体" w:eastAsia="宋体" w:cs="宋体"/>
                <w:color w:val="auto"/>
                <w:spacing w:val="-1"/>
                <w:sz w:val="24"/>
                <w:szCs w:val="24"/>
                <w:highlight w:val="none"/>
                <w:lang w:eastAsia="zh-CN"/>
              </w:rPr>
              <w:t>按照招标人要求实现充电运营管理云平台</w:t>
            </w:r>
            <w:r>
              <w:rPr>
                <w:rFonts w:hint="eastAsia" w:ascii="宋体" w:hAnsi="宋体" w:eastAsia="宋体" w:cs="宋体"/>
                <w:color w:val="auto"/>
                <w:spacing w:val="-4"/>
                <w:sz w:val="24"/>
                <w:szCs w:val="24"/>
                <w:lang w:eastAsia="zh-CN"/>
              </w:rPr>
              <w:t>设备与招标人充电运营管理云平台的数据对接，满足</w:t>
            </w:r>
            <w:r>
              <w:rPr>
                <w:rFonts w:hint="eastAsia" w:ascii="宋体" w:hAnsi="宋体" w:eastAsia="宋体" w:cs="宋体"/>
                <w:color w:val="auto"/>
                <w:spacing w:val="-3"/>
                <w:sz w:val="24"/>
                <w:szCs w:val="24"/>
                <w:lang w:eastAsia="zh-CN"/>
              </w:rPr>
              <w:t>招标人充电运营管理要求。</w:t>
            </w:r>
          </w:p>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r>
              <w:rPr>
                <w:rFonts w:hint="eastAsia" w:eastAsia="宋体" w:cs="宋体"/>
                <w:color w:val="auto"/>
                <w:sz w:val="24"/>
                <w:szCs w:val="24"/>
                <w:lang w:val="en-US" w:eastAsia="zh-CN"/>
              </w:rPr>
              <w:t>.</w:t>
            </w:r>
            <w:r>
              <w:rPr>
                <w:rFonts w:hint="eastAsia" w:ascii="宋体" w:hAnsi="宋体" w:eastAsia="宋体" w:cs="宋体"/>
                <w:color w:val="auto"/>
                <w:sz w:val="24"/>
                <w:szCs w:val="24"/>
                <w:highlight w:val="yellow"/>
                <w:lang w:eastAsia="zh-CN"/>
              </w:rPr>
              <w:t>在质量保证期内，若买方指定</w:t>
            </w:r>
            <w:r>
              <w:rPr>
                <w:rFonts w:hint="eastAsia" w:ascii="宋体" w:hAnsi="宋体" w:eastAsia="宋体" w:cs="宋体"/>
                <w:color w:val="auto"/>
                <w:sz w:val="24"/>
                <w:szCs w:val="24"/>
                <w:highlight w:val="yellow"/>
                <w:lang w:val="en-US" w:eastAsia="zh-CN"/>
              </w:rPr>
              <w:t>第三方设备</w:t>
            </w:r>
            <w:r>
              <w:rPr>
                <w:rFonts w:hint="eastAsia" w:ascii="宋体" w:hAnsi="宋体" w:eastAsia="宋体" w:cs="宋体"/>
                <w:color w:val="auto"/>
                <w:sz w:val="24"/>
                <w:szCs w:val="24"/>
                <w:highlight w:val="yellow"/>
                <w:lang w:eastAsia="zh-CN"/>
              </w:rPr>
              <w:t>接入</w:t>
            </w:r>
            <w:r>
              <w:rPr>
                <w:rFonts w:hint="eastAsia" w:ascii="宋体" w:hAnsi="宋体" w:eastAsia="宋体" w:cs="宋体"/>
                <w:color w:val="auto"/>
                <w:sz w:val="24"/>
                <w:szCs w:val="24"/>
                <w:highlight w:val="yellow"/>
                <w:lang w:val="en-US" w:eastAsia="zh-CN"/>
              </w:rPr>
              <w:t>本项目</w:t>
            </w:r>
            <w:r>
              <w:rPr>
                <w:rFonts w:hint="eastAsia" w:ascii="宋体" w:hAnsi="宋体" w:eastAsia="宋体" w:cs="宋体"/>
                <w:color w:val="auto"/>
                <w:spacing w:val="-1"/>
                <w:sz w:val="24"/>
                <w:szCs w:val="24"/>
                <w:highlight w:val="yellow"/>
                <w:lang w:eastAsia="zh-CN"/>
              </w:rPr>
              <w:t>充电桩运营管理平台</w:t>
            </w:r>
            <w:r>
              <w:rPr>
                <w:rFonts w:hint="eastAsia" w:ascii="宋体" w:hAnsi="宋体" w:eastAsia="宋体" w:cs="宋体"/>
                <w:color w:val="auto"/>
                <w:spacing w:val="-17"/>
                <w:sz w:val="24"/>
                <w:szCs w:val="24"/>
                <w:highlight w:val="yellow"/>
                <w:lang w:eastAsia="zh-CN"/>
              </w:rPr>
              <w:t>，</w:t>
            </w:r>
            <w:r>
              <w:rPr>
                <w:rFonts w:hint="eastAsia" w:ascii="宋体" w:hAnsi="宋体" w:eastAsia="宋体" w:cs="宋体"/>
                <w:color w:val="auto"/>
                <w:spacing w:val="-5"/>
                <w:sz w:val="24"/>
                <w:szCs w:val="24"/>
                <w:highlight w:val="yellow"/>
                <w:lang w:eastAsia="zh-CN"/>
              </w:rPr>
              <w:t>卖方需提供必要的配合服务，并承担相应的费用。</w:t>
            </w:r>
          </w:p>
          <w:p>
            <w:pPr>
              <w:pStyle w:val="137"/>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w:t>
            </w:r>
            <w:r>
              <w:rPr>
                <w:rFonts w:hint="eastAsia" w:eastAsia="宋体" w:cs="宋体"/>
                <w:color w:val="auto"/>
                <w:sz w:val="24"/>
                <w:szCs w:val="24"/>
                <w:lang w:val="en-US" w:eastAsia="zh-CN"/>
              </w:rPr>
              <w:t>.</w:t>
            </w:r>
            <w:r>
              <w:rPr>
                <w:rFonts w:hint="eastAsia" w:ascii="宋体" w:hAnsi="宋体" w:eastAsia="宋体" w:cs="宋体"/>
                <w:color w:val="auto"/>
                <w:sz w:val="24"/>
                <w:szCs w:val="24"/>
                <w:lang w:eastAsia="zh-CN"/>
              </w:rPr>
              <w:t>在质量保证期内，若买方有需要，可要求卖方提</w:t>
            </w:r>
            <w:r>
              <w:rPr>
                <w:rFonts w:hint="eastAsia" w:ascii="宋体" w:hAnsi="宋体" w:eastAsia="宋体" w:cs="宋体"/>
                <w:color w:val="auto"/>
                <w:spacing w:val="-4"/>
                <w:sz w:val="24"/>
                <w:szCs w:val="24"/>
                <w:lang w:eastAsia="zh-CN"/>
              </w:rPr>
              <w:t>供免费的充电桩运营管理平台（含营收管理、资产管</w:t>
            </w:r>
            <w:r>
              <w:rPr>
                <w:rFonts w:hint="eastAsia" w:ascii="宋体" w:hAnsi="宋体" w:eastAsia="宋体" w:cs="宋体"/>
                <w:color w:val="auto"/>
                <w:spacing w:val="-2"/>
                <w:sz w:val="24"/>
                <w:szCs w:val="24"/>
                <w:lang w:eastAsia="zh-CN"/>
              </w:rPr>
              <w:t>理、电价下发等基本使用功能）。</w:t>
            </w:r>
          </w:p>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lang w:eastAsia="zh-CN"/>
              </w:rPr>
              <w:t>4</w:t>
            </w:r>
            <w:r>
              <w:rPr>
                <w:rFonts w:hint="eastAsia" w:eastAsia="宋体" w:cs="宋体"/>
                <w:color w:val="auto"/>
                <w:sz w:val="24"/>
                <w:szCs w:val="24"/>
                <w:lang w:val="en-US" w:eastAsia="zh-CN"/>
              </w:rPr>
              <w:t>.</w:t>
            </w:r>
            <w:r>
              <w:rPr>
                <w:rFonts w:hint="eastAsia" w:ascii="宋体" w:hAnsi="宋体" w:eastAsia="宋体" w:cs="宋体"/>
                <w:color w:val="auto"/>
                <w:sz w:val="24"/>
                <w:szCs w:val="24"/>
                <w:lang w:eastAsia="zh-CN"/>
              </w:rPr>
              <w:t>近三年，所投设备生产厂家须严格遵守《网络安</w:t>
            </w:r>
            <w:r>
              <w:rPr>
                <w:rFonts w:hint="eastAsia" w:ascii="宋体" w:hAnsi="宋体" w:eastAsia="宋体" w:cs="宋体"/>
                <w:color w:val="auto"/>
                <w:spacing w:val="-4"/>
                <w:sz w:val="24"/>
                <w:szCs w:val="24"/>
                <w:lang w:eastAsia="zh-CN"/>
              </w:rPr>
              <w:t>全》、《电信条例》、《电信和互联网用户个人信息</w:t>
            </w:r>
            <w:r>
              <w:rPr>
                <w:rFonts w:hint="eastAsia" w:ascii="宋体" w:hAnsi="宋体" w:eastAsia="宋体" w:cs="宋体"/>
                <w:color w:val="auto"/>
                <w:spacing w:val="-2"/>
                <w:sz w:val="24"/>
                <w:szCs w:val="24"/>
                <w:lang w:eastAsia="zh-CN"/>
              </w:rPr>
              <w:t>保护规定》等法律法规，不存在违规收集个人信息、</w:t>
            </w:r>
            <w:r>
              <w:rPr>
                <w:rFonts w:hint="eastAsia" w:ascii="宋体" w:hAnsi="宋体" w:eastAsia="宋体" w:cs="宋体"/>
                <w:color w:val="auto"/>
                <w:spacing w:val="5"/>
                <w:sz w:val="24"/>
                <w:szCs w:val="24"/>
                <w:lang w:eastAsia="zh-CN"/>
              </w:rPr>
              <w:t>违规使用个人信息等行为，未被工信部相关部门通</w:t>
            </w:r>
            <w:r>
              <w:rPr>
                <w:rFonts w:hint="eastAsia" w:ascii="宋体" w:hAnsi="宋体" w:eastAsia="宋体" w:cs="宋体"/>
                <w:color w:val="auto"/>
                <w:spacing w:val="-9"/>
                <w:sz w:val="24"/>
                <w:szCs w:val="24"/>
                <w:lang w:eastAsia="zh-CN"/>
              </w:rPr>
              <w:t>报。</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647"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产品外观</w:t>
            </w:r>
          </w:p>
        </w:tc>
        <w:tc>
          <w:tcPr>
            <w:tcW w:w="5651" w:type="dxa"/>
            <w:vAlign w:val="top"/>
          </w:tcPr>
          <w:p>
            <w:pPr>
              <w:pStyle w:val="137"/>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设备外观颜色一致，外观颜色为国际标准色RAL 9002，参照于QZZ 30070-2020 设备设施颜色标识颜色对照表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正面</w:t>
            </w:r>
            <w:r>
              <w:rPr>
                <w:rFonts w:hint="eastAsia" w:ascii="宋体" w:hAnsi="宋体" w:eastAsia="宋体" w:cs="宋体"/>
                <w:sz w:val="24"/>
                <w:szCs w:val="24"/>
                <w:highlight w:val="none"/>
              </w:rPr>
              <w:t>不能出现供应商名称或LOGO标识</w:t>
            </w:r>
            <w:r>
              <w:rPr>
                <w:rFonts w:hint="eastAsia" w:ascii="宋体" w:hAnsi="宋体" w:eastAsia="宋体" w:cs="宋体"/>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049" w:type="dxa"/>
            <w:vMerge w:val="continue"/>
            <w:vAlign w:val="center"/>
          </w:tcPr>
          <w:p>
            <w:pPr>
              <w:keepNext w:val="0"/>
              <w:keepLines w:val="0"/>
              <w:pageBreakBefore w:val="0"/>
              <w:wordWrap/>
              <w:overflowPunct/>
              <w:topLinePunct w:val="0"/>
              <w:bidi w:val="0"/>
              <w:spacing w:line="240" w:lineRule="auto"/>
              <w:ind w:firstLine="480"/>
              <w:jc w:val="center"/>
              <w:rPr>
                <w:rFonts w:hint="default" w:ascii="Calibri" w:hAnsi="Calibri" w:eastAsia="华文细黑" w:cs="Calibri"/>
                <w:color w:val="auto"/>
                <w:sz w:val="24"/>
                <w:szCs w:val="24"/>
                <w:highlight w:val="none"/>
              </w:rPr>
            </w:pPr>
          </w:p>
        </w:tc>
        <w:tc>
          <w:tcPr>
            <w:tcW w:w="2586" w:type="dxa"/>
            <w:vAlign w:val="top"/>
          </w:tcPr>
          <w:p>
            <w:pPr>
              <w:pStyle w:val="137"/>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rPr>
              <w:t>防火封堵</w:t>
            </w:r>
          </w:p>
        </w:tc>
        <w:tc>
          <w:tcPr>
            <w:tcW w:w="5651" w:type="dxa"/>
            <w:vAlign w:val="top"/>
          </w:tcPr>
          <w:p>
            <w:pPr>
              <w:pStyle w:val="137"/>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9"/>
                <w:sz w:val="24"/>
                <w:szCs w:val="24"/>
                <w:highlight w:val="none"/>
                <w:lang w:val="en-US" w:eastAsia="zh-CN"/>
              </w:rPr>
              <w:t>设备需具备物理报警功能，</w:t>
            </w:r>
            <w:r>
              <w:rPr>
                <w:rFonts w:hint="eastAsia" w:ascii="宋体" w:hAnsi="宋体" w:eastAsia="宋体" w:cs="宋体"/>
                <w:color w:val="auto"/>
                <w:spacing w:val="-9"/>
                <w:sz w:val="24"/>
                <w:szCs w:val="24"/>
                <w:highlight w:val="none"/>
                <w:lang w:eastAsia="zh-CN"/>
              </w:rPr>
              <w:t>密封系统</w:t>
            </w:r>
            <w:r>
              <w:rPr>
                <w:rFonts w:hint="eastAsia" w:ascii="宋体" w:hAnsi="宋体" w:eastAsia="宋体" w:cs="宋体"/>
                <w:color w:val="auto"/>
                <w:spacing w:val="-9"/>
                <w:sz w:val="24"/>
                <w:szCs w:val="24"/>
                <w:highlight w:val="none"/>
                <w:lang w:val="en-US" w:eastAsia="zh-CN"/>
              </w:rPr>
              <w:t>具有</w:t>
            </w:r>
            <w:r>
              <w:rPr>
                <w:rFonts w:hint="eastAsia" w:ascii="宋体" w:hAnsi="宋体" w:eastAsia="宋体" w:cs="宋体"/>
                <w:color w:val="auto"/>
                <w:spacing w:val="-9"/>
                <w:sz w:val="24"/>
                <w:szCs w:val="24"/>
                <w:highlight w:val="none"/>
                <w:lang w:eastAsia="zh-CN"/>
              </w:rPr>
              <w:t>防火性能。</w:t>
            </w:r>
          </w:p>
        </w:tc>
      </w:tr>
    </w:tbl>
    <w:p>
      <w:pPr>
        <w:spacing w:line="360" w:lineRule="auto"/>
        <w:ind w:firstLine="420" w:firstLineChars="0"/>
        <w:rPr>
          <w:rFonts w:hint="default" w:ascii="Calibri" w:hAnsi="Calibri" w:eastAsia="华文细黑" w:cs="Calibri"/>
          <w:color w:val="auto"/>
          <w:sz w:val="24"/>
          <w:szCs w:val="24"/>
          <w:highlight w:val="none"/>
          <w:lang w:val="en-US" w:eastAsia="zh-CN"/>
        </w:rPr>
      </w:pPr>
      <w:r>
        <w:rPr>
          <w:rFonts w:hint="default" w:ascii="Calibri" w:hAnsi="Calibri" w:eastAsia="华文细黑" w:cs="Calibri"/>
          <w:color w:val="auto"/>
          <w:sz w:val="24"/>
          <w:szCs w:val="24"/>
          <w:highlight w:val="none"/>
          <w:lang w:val="en-US" w:eastAsia="zh-CN"/>
        </w:rPr>
        <w:t>以下内容为对上表的进一步说明。</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设备组成</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分体式直流充电设备基本构成包括：动力电源输入单元、功率变换单元、功率分配单元、充</w:t>
      </w:r>
      <w:r>
        <w:rPr>
          <w:rFonts w:hint="eastAsia" w:ascii="宋体" w:hAnsi="宋体" w:eastAsia="宋体" w:cs="宋体"/>
          <w:spacing w:val="-1"/>
          <w:sz w:val="24"/>
          <w:szCs w:val="24"/>
        </w:rPr>
        <w:t>电控制单元、输出开关单元、计量单元、充电接口、人机交互</w:t>
      </w:r>
      <w:r>
        <w:rPr>
          <w:rFonts w:hint="eastAsia" w:ascii="宋体" w:hAnsi="宋体" w:eastAsia="宋体" w:cs="宋体"/>
          <w:spacing w:val="-1"/>
          <w:sz w:val="24"/>
          <w:szCs w:val="24"/>
          <w:lang w:val="en-US" w:eastAsia="zh-CN"/>
        </w:rPr>
        <w:t>面板</w:t>
      </w:r>
      <w:r>
        <w:rPr>
          <w:rFonts w:hint="eastAsia" w:ascii="宋体" w:hAnsi="宋体" w:eastAsia="宋体" w:cs="宋体"/>
          <w:spacing w:val="-1"/>
          <w:sz w:val="24"/>
          <w:szCs w:val="24"/>
        </w:rPr>
        <w:t>等。</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spacing w:val="-4"/>
          <w:sz w:val="24"/>
          <w:szCs w:val="24"/>
        </w:rPr>
        <w:t>分体式直流充电设备由一台主机电源柜和多台直流充电终端组</w:t>
      </w:r>
      <w:r>
        <w:rPr>
          <w:rFonts w:hint="eastAsia" w:ascii="宋体" w:hAnsi="宋体" w:eastAsia="宋体" w:cs="宋体"/>
          <w:spacing w:val="-5"/>
          <w:sz w:val="24"/>
          <w:szCs w:val="24"/>
        </w:rPr>
        <w:t>成,它们之间通过电缆连接组</w:t>
      </w:r>
      <w:r>
        <w:rPr>
          <w:rFonts w:hint="eastAsia" w:ascii="宋体" w:hAnsi="宋体" w:eastAsia="宋体" w:cs="宋体"/>
          <w:spacing w:val="-1"/>
          <w:sz w:val="24"/>
          <w:szCs w:val="24"/>
        </w:rPr>
        <w:t>成一套完整的充电设备，多台直流充电终端可同时输出电流，具</w:t>
      </w:r>
      <w:r>
        <w:rPr>
          <w:rFonts w:hint="eastAsia" w:ascii="宋体" w:hAnsi="宋体" w:eastAsia="宋体" w:cs="宋体"/>
          <w:spacing w:val="-2"/>
          <w:sz w:val="24"/>
          <w:szCs w:val="24"/>
        </w:rPr>
        <w:t>备直流输出功率自动分配功能，</w:t>
      </w:r>
      <w:r>
        <w:rPr>
          <w:rFonts w:hint="eastAsia" w:ascii="宋体" w:hAnsi="宋体" w:eastAsia="宋体" w:cs="宋体"/>
          <w:spacing w:val="-1"/>
          <w:sz w:val="24"/>
          <w:szCs w:val="24"/>
        </w:rPr>
        <w:t>且每个充电终端（充电桩）均可调用每个充电模块</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highlight w:val="none"/>
          <w:lang w:val="en-US" w:eastAsia="zh-CN"/>
        </w:rPr>
        <w:t>充电桩枪线</w:t>
      </w:r>
      <w:r>
        <w:rPr>
          <w:rFonts w:hint="eastAsia" w:ascii="宋体" w:hAnsi="宋体" w:eastAsia="宋体" w:cs="宋体"/>
          <w:color w:val="auto"/>
          <w:spacing w:val="-2"/>
          <w:sz w:val="24"/>
          <w:szCs w:val="24"/>
          <w:highlight w:val="none"/>
          <w:lang w:eastAsia="zh-CN"/>
        </w:rPr>
        <w:t>线缆外径不大于</w:t>
      </w:r>
      <w:r>
        <w:rPr>
          <w:rFonts w:hint="eastAsia" w:ascii="宋体" w:hAnsi="宋体" w:eastAsia="宋体" w:cs="宋体"/>
          <w:color w:val="auto"/>
          <w:spacing w:val="-2"/>
          <w:sz w:val="24"/>
          <w:szCs w:val="24"/>
          <w:highlight w:val="none"/>
          <w:lang w:val="en-US" w:eastAsia="zh-CN"/>
        </w:rPr>
        <w:t>40</w:t>
      </w:r>
      <w:r>
        <w:rPr>
          <w:rFonts w:hint="eastAsia" w:ascii="宋体" w:hAnsi="宋体" w:eastAsia="宋体" w:cs="宋体"/>
          <w:color w:val="auto"/>
          <w:spacing w:val="-2"/>
          <w:sz w:val="24"/>
          <w:szCs w:val="24"/>
          <w:highlight w:val="none"/>
          <w:lang w:eastAsia="zh-CN"/>
        </w:rPr>
        <w:t>mm，线缆重量不大于1.</w:t>
      </w:r>
      <w:r>
        <w:rPr>
          <w:rFonts w:hint="eastAsia" w:ascii="宋体" w:hAnsi="宋体" w:eastAsia="宋体" w:cs="宋体"/>
          <w:color w:val="auto"/>
          <w:spacing w:val="-2"/>
          <w:sz w:val="24"/>
          <w:szCs w:val="24"/>
          <w:highlight w:val="none"/>
          <w:lang w:val="en-US" w:eastAsia="zh-CN"/>
        </w:rPr>
        <w:t>99</w:t>
      </w:r>
      <w:r>
        <w:rPr>
          <w:rFonts w:hint="eastAsia" w:ascii="宋体" w:hAnsi="宋体" w:eastAsia="宋体" w:cs="宋体"/>
          <w:color w:val="auto"/>
          <w:spacing w:val="-2"/>
          <w:sz w:val="24"/>
          <w:szCs w:val="24"/>
          <w:highlight w:val="none"/>
          <w:lang w:eastAsia="zh-CN"/>
        </w:rPr>
        <w:t>Kg/m。</w:t>
      </w:r>
    </w:p>
    <w:p>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宋体" w:hAnsi="宋体" w:eastAsia="宋体" w:cs="宋体"/>
          <w:sz w:val="24"/>
          <w:szCs w:val="24"/>
        </w:rPr>
      </w:pPr>
      <w:r>
        <w:rPr>
          <w:rFonts w:hint="eastAsia" w:ascii="宋体" w:hAnsi="宋体" w:eastAsia="宋体" w:cs="宋体"/>
          <w:spacing w:val="-3"/>
          <w:sz w:val="24"/>
          <w:szCs w:val="24"/>
        </w:rPr>
        <w:t>充电设备所有模块独立自动功率分配,功率分配</w:t>
      </w:r>
      <w:r>
        <w:rPr>
          <w:rFonts w:hint="eastAsia" w:ascii="宋体" w:hAnsi="宋体" w:eastAsia="宋体" w:cs="宋体"/>
          <w:spacing w:val="-4"/>
          <w:sz w:val="24"/>
          <w:szCs w:val="24"/>
        </w:rPr>
        <w:t>单元要求模块化结构设计，易运维维护。</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功能要求</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"2.4.3.1" </w:instrText>
      </w:r>
      <w:r>
        <w:rPr>
          <w:rFonts w:hint="eastAsia" w:ascii="宋体" w:hAnsi="宋体" w:eastAsia="宋体" w:cs="宋体"/>
          <w:b/>
          <w:bCs/>
          <w:sz w:val="24"/>
          <w:szCs w:val="24"/>
        </w:rPr>
        <w:fldChar w:fldCharType="separate"/>
      </w:r>
      <w:r>
        <w:rPr>
          <w:rFonts w:hint="eastAsia" w:ascii="宋体" w:hAnsi="宋体" w:eastAsia="宋体" w:cs="宋体"/>
          <w:b/>
          <w:bCs/>
          <w:spacing w:val="-1"/>
          <w:sz w:val="24"/>
          <w:szCs w:val="24"/>
          <w:lang w:val="en-US" w:eastAsia="zh-CN"/>
        </w:rPr>
        <w:t>3</w:t>
      </w:r>
      <w:r>
        <w:rPr>
          <w:rFonts w:hint="eastAsia" w:ascii="宋体" w:hAnsi="宋体" w:eastAsia="宋体" w:cs="宋体"/>
          <w:b/>
          <w:bCs/>
          <w:spacing w:val="-1"/>
          <w:sz w:val="24"/>
          <w:szCs w:val="24"/>
        </w:rPr>
        <w:t>.</w:t>
      </w:r>
      <w:r>
        <w:rPr>
          <w:rFonts w:hint="eastAsia" w:ascii="宋体" w:hAnsi="宋体" w:eastAsia="宋体" w:cs="宋体"/>
          <w:b/>
          <w:bCs/>
          <w:spacing w:val="-1"/>
          <w:sz w:val="24"/>
          <w:szCs w:val="24"/>
          <w:lang w:val="en-US" w:eastAsia="zh-CN"/>
        </w:rPr>
        <w:t>1</w:t>
      </w:r>
      <w:r>
        <w:rPr>
          <w:rFonts w:hint="eastAsia" w:ascii="宋体" w:hAnsi="宋体" w:eastAsia="宋体" w:cs="宋体"/>
          <w:b/>
          <w:bCs/>
          <w:spacing w:val="-1"/>
          <w:sz w:val="24"/>
          <w:szCs w:val="24"/>
        </w:rPr>
        <w:fldChar w:fldCharType="end"/>
      </w:r>
      <w:r>
        <w:rPr>
          <w:rFonts w:hint="eastAsia" w:ascii="宋体" w:hAnsi="宋体" w:eastAsia="宋体" w:cs="宋体"/>
          <w:b/>
          <w:bCs/>
          <w:spacing w:val="-2"/>
          <w:sz w:val="24"/>
          <w:szCs w:val="24"/>
        </w:rPr>
        <w:t>充电设定方式</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充电设定方式分为自动设定方式和手动设定方式两种。</w:t>
      </w:r>
    </w:p>
    <w:p>
      <w:pPr>
        <w:pageBreakBefore w:val="0"/>
        <w:widowControl w:val="0"/>
        <w:kinsoku/>
        <w:wordWrap/>
        <w:overflowPunct/>
        <w:topLinePunct w:val="0"/>
        <w:autoSpaceDE/>
        <w:autoSpaceDN/>
        <w:bidi w:val="0"/>
        <w:adjustRightInd/>
        <w:snapToGrid/>
        <w:spacing w:line="360" w:lineRule="auto"/>
        <w:ind w:firstLine="484"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（1）自动设定方式：在充电过程中，充电终端</w:t>
      </w:r>
      <w:r>
        <w:rPr>
          <w:rFonts w:hint="eastAsia" w:ascii="宋体" w:hAnsi="宋体" w:eastAsia="宋体" w:cs="宋体"/>
          <w:sz w:val="24"/>
          <w:szCs w:val="24"/>
        </w:rPr>
        <w:t xml:space="preserve">（充电桩）应能依据电动汽车电池管理系统 </w:t>
      </w:r>
      <w:r>
        <w:rPr>
          <w:rFonts w:hint="eastAsia" w:ascii="宋体" w:hAnsi="宋体" w:eastAsia="宋体" w:cs="宋体"/>
          <w:spacing w:val="-5"/>
          <w:sz w:val="24"/>
          <w:szCs w:val="24"/>
        </w:rPr>
        <w:t>提供的数据动态调整充电参数，执行相应动作，完成充电过程。</w:t>
      </w:r>
    </w:p>
    <w:p>
      <w:pPr>
        <w:pageBreakBefore w:val="0"/>
        <w:widowControl w:val="0"/>
        <w:kinsoku/>
        <w:wordWrap/>
        <w:overflowPunct/>
        <w:topLinePunct w:val="0"/>
        <w:autoSpaceDE/>
        <w:autoSpaceDN/>
        <w:bidi w:val="0"/>
        <w:adjustRightInd/>
        <w:snapToGrid/>
        <w:spacing w:line="360" w:lineRule="auto"/>
        <w:ind w:firstLine="444" w:firstLineChars="200"/>
        <w:textAlignment w:val="auto"/>
        <w:rPr>
          <w:rFonts w:hint="eastAsia" w:ascii="宋体" w:hAnsi="宋体" w:eastAsia="宋体" w:cs="宋体"/>
          <w:sz w:val="24"/>
          <w:szCs w:val="24"/>
        </w:rPr>
      </w:pPr>
      <w:r>
        <w:rPr>
          <w:rFonts w:hint="eastAsia" w:ascii="宋体" w:hAnsi="宋体" w:eastAsia="宋体" w:cs="宋体"/>
          <w:spacing w:val="-9"/>
          <w:sz w:val="24"/>
          <w:szCs w:val="24"/>
        </w:rPr>
        <w:t>（2）手动设定方式：由操作人员设置</w:t>
      </w:r>
      <w:r>
        <w:rPr>
          <w:rFonts w:hint="eastAsia" w:ascii="宋体" w:hAnsi="宋体" w:eastAsia="宋体" w:cs="宋体"/>
          <w:spacing w:val="-9"/>
          <w:sz w:val="24"/>
          <w:szCs w:val="24"/>
          <w:highlight w:val="none"/>
        </w:rPr>
        <w:t>充电方式、充电电压、充电电流等</w:t>
      </w:r>
      <w:r>
        <w:rPr>
          <w:rFonts w:hint="eastAsia" w:ascii="宋体" w:hAnsi="宋体" w:eastAsia="宋体" w:cs="宋体"/>
          <w:spacing w:val="-9"/>
          <w:sz w:val="24"/>
          <w:szCs w:val="24"/>
        </w:rPr>
        <w:t>参数，充电终端（充</w:t>
      </w:r>
      <w:r>
        <w:rPr>
          <w:rFonts w:hint="eastAsia" w:ascii="宋体" w:hAnsi="宋体" w:eastAsia="宋体" w:cs="宋体"/>
          <w:spacing w:val="-5"/>
          <w:sz w:val="24"/>
          <w:szCs w:val="24"/>
        </w:rPr>
        <w:t>电桩）应能根据设定参数执行相应操作，完成充电过程。充电终端（充电桩</w:t>
      </w:r>
      <w:r>
        <w:rPr>
          <w:rFonts w:hint="eastAsia" w:ascii="宋体" w:hAnsi="宋体" w:eastAsia="宋体" w:cs="宋体"/>
          <w:spacing w:val="-6"/>
          <w:sz w:val="24"/>
          <w:szCs w:val="24"/>
        </w:rPr>
        <w:t>）采用手动设定方式</w:t>
      </w:r>
      <w:r>
        <w:rPr>
          <w:rFonts w:hint="eastAsia" w:ascii="宋体" w:hAnsi="宋体" w:eastAsia="宋体" w:cs="宋体"/>
          <w:sz w:val="24"/>
          <w:szCs w:val="24"/>
        </w:rPr>
        <w:t>时，应具有明确的操作指示信息。手动充电方式仅</w:t>
      </w:r>
      <w:r>
        <w:rPr>
          <w:rFonts w:hint="eastAsia" w:ascii="宋体" w:hAnsi="宋体" w:eastAsia="宋体" w:cs="宋体"/>
          <w:spacing w:val="-1"/>
          <w:sz w:val="24"/>
          <w:szCs w:val="24"/>
        </w:rPr>
        <w:t>限于设备调试和维修模式下使用。</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（3）充电产品具备扫码启动功能。</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b/>
          <w:bCs/>
          <w:sz w:val="24"/>
          <w:szCs w:val="24"/>
        </w:rPr>
      </w:pPr>
      <w:r>
        <w:rPr>
          <w:rFonts w:hint="eastAsia" w:ascii="宋体" w:hAnsi="宋体" w:eastAsia="宋体" w:cs="宋体"/>
          <w:b/>
          <w:bCs/>
          <w:spacing w:val="-1"/>
          <w:sz w:val="24"/>
          <w:szCs w:val="24"/>
          <w:lang w:val="en-US" w:eastAsia="zh-CN"/>
        </w:rPr>
        <w:t>3.2</w:t>
      </w:r>
      <w:r>
        <w:rPr>
          <w:rFonts w:hint="eastAsia" w:ascii="宋体" w:hAnsi="宋体" w:eastAsia="宋体" w:cs="宋体"/>
          <w:b/>
          <w:bCs/>
          <w:spacing w:val="-1"/>
          <w:sz w:val="24"/>
          <w:szCs w:val="24"/>
        </w:rPr>
        <w:t>功率自动分配功能</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pacing w:val="-2"/>
          <w:sz w:val="24"/>
          <w:szCs w:val="24"/>
        </w:rPr>
      </w:pPr>
      <w:r>
        <w:rPr>
          <w:rFonts w:hint="eastAsia" w:ascii="宋体" w:hAnsi="宋体" w:eastAsia="宋体" w:cs="宋体"/>
          <w:spacing w:val="-1"/>
          <w:sz w:val="24"/>
          <w:szCs w:val="24"/>
        </w:rPr>
        <w:t>充电设备具备智能动态功率分配功能。在充电过程中，充电设备根据用户充电请求、充电车</w:t>
      </w:r>
      <w:r>
        <w:rPr>
          <w:rFonts w:hint="eastAsia" w:ascii="宋体" w:hAnsi="宋体" w:eastAsia="宋体" w:cs="宋体"/>
          <w:spacing w:val="-7"/>
          <w:sz w:val="24"/>
          <w:szCs w:val="24"/>
        </w:rPr>
        <w:t>辆充电需求、当前功率变换单元负荷状态、上级监控管理系统调控指令，自动分配输出功率，将</w:t>
      </w:r>
      <w:r>
        <w:rPr>
          <w:rFonts w:hint="eastAsia" w:ascii="宋体" w:hAnsi="宋体" w:eastAsia="宋体" w:cs="宋体"/>
          <w:spacing w:val="-1"/>
          <w:sz w:val="24"/>
          <w:szCs w:val="24"/>
        </w:rPr>
        <w:t>充电模块按预定的控制策略动态调整分配连接至各</w:t>
      </w:r>
      <w:r>
        <w:rPr>
          <w:rFonts w:hint="eastAsia" w:ascii="宋体" w:hAnsi="宋体" w:eastAsia="宋体" w:cs="宋体"/>
          <w:spacing w:val="-2"/>
          <w:sz w:val="24"/>
          <w:szCs w:val="24"/>
        </w:rPr>
        <w:t>充电接口。</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b/>
          <w:bCs/>
          <w:sz w:val="24"/>
          <w:szCs w:val="24"/>
        </w:rPr>
      </w:pPr>
      <w:r>
        <w:rPr>
          <w:rFonts w:hint="eastAsia" w:ascii="宋体" w:hAnsi="宋体" w:eastAsia="宋体" w:cs="宋体"/>
          <w:b/>
          <w:bCs/>
          <w:spacing w:val="-1"/>
          <w:sz w:val="24"/>
          <w:szCs w:val="24"/>
          <w:lang w:val="en-US" w:eastAsia="zh-CN"/>
        </w:rPr>
        <w:t>3.3</w:t>
      </w:r>
      <w:r>
        <w:rPr>
          <w:rFonts w:hint="eastAsia" w:ascii="宋体" w:hAnsi="宋体" w:eastAsia="宋体" w:cs="宋体"/>
          <w:b/>
          <w:bCs/>
          <w:spacing w:val="-2"/>
          <w:sz w:val="24"/>
          <w:szCs w:val="24"/>
        </w:rPr>
        <w:t>集中管控功能</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充电设备支持区域组网实现集群控制和管理功能，根据用电负荷需求和配电能力，进行</w:t>
      </w:r>
      <w:r>
        <w:rPr>
          <w:rFonts w:hint="eastAsia" w:ascii="宋体" w:hAnsi="宋体" w:eastAsia="宋体" w:cs="宋体"/>
          <w:spacing w:val="-2"/>
          <w:sz w:val="24"/>
          <w:szCs w:val="24"/>
        </w:rPr>
        <w:t>动态</w:t>
      </w:r>
      <w:r>
        <w:rPr>
          <w:rFonts w:hint="eastAsia" w:ascii="宋体" w:hAnsi="宋体" w:eastAsia="宋体" w:cs="宋体"/>
          <w:spacing w:val="-1"/>
          <w:sz w:val="24"/>
          <w:szCs w:val="24"/>
        </w:rPr>
        <w:t>负荷调度或设定固定负荷上限，实时调控充电终端功率输出，满足充电需求。</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"2.4.3.5" </w:instrText>
      </w:r>
      <w:r>
        <w:rPr>
          <w:rFonts w:hint="eastAsia" w:ascii="宋体" w:hAnsi="宋体" w:eastAsia="宋体" w:cs="宋体"/>
          <w:b/>
          <w:bCs/>
          <w:sz w:val="24"/>
          <w:szCs w:val="24"/>
          <w:highlight w:val="none"/>
        </w:rPr>
        <w:fldChar w:fldCharType="separate"/>
      </w:r>
      <w:r>
        <w:rPr>
          <w:rFonts w:hint="eastAsia" w:ascii="宋体" w:hAnsi="宋体" w:eastAsia="宋体" w:cs="宋体"/>
          <w:b/>
          <w:bCs/>
          <w:spacing w:val="-2"/>
          <w:sz w:val="24"/>
          <w:szCs w:val="24"/>
          <w:highlight w:val="none"/>
          <w:lang w:val="en-US" w:eastAsia="zh-CN"/>
        </w:rPr>
        <w:t>3</w:t>
      </w:r>
      <w:r>
        <w:rPr>
          <w:rFonts w:hint="eastAsia" w:ascii="宋体" w:hAnsi="宋体" w:eastAsia="宋体" w:cs="宋体"/>
          <w:b/>
          <w:bCs/>
          <w:spacing w:val="-2"/>
          <w:sz w:val="24"/>
          <w:szCs w:val="24"/>
          <w:highlight w:val="none"/>
        </w:rPr>
        <w:t>.</w:t>
      </w:r>
      <w:r>
        <w:rPr>
          <w:rFonts w:hint="eastAsia" w:ascii="宋体" w:hAnsi="宋体" w:eastAsia="宋体" w:cs="宋体"/>
          <w:b/>
          <w:bCs/>
          <w:spacing w:val="-2"/>
          <w:sz w:val="24"/>
          <w:szCs w:val="24"/>
          <w:highlight w:val="none"/>
          <w:lang w:val="en-US" w:eastAsia="zh-CN"/>
        </w:rPr>
        <w:t>4</w:t>
      </w:r>
      <w:r>
        <w:rPr>
          <w:rFonts w:hint="eastAsia" w:ascii="宋体" w:hAnsi="宋体" w:eastAsia="宋体" w:cs="宋体"/>
          <w:b/>
          <w:bCs/>
          <w:spacing w:val="-2"/>
          <w:sz w:val="24"/>
          <w:szCs w:val="24"/>
          <w:highlight w:val="none"/>
        </w:rPr>
        <w:fldChar w:fldCharType="end"/>
      </w:r>
      <w:r>
        <w:rPr>
          <w:rFonts w:hint="eastAsia" w:ascii="宋体" w:hAnsi="宋体" w:eastAsia="宋体" w:cs="宋体"/>
          <w:b/>
          <w:bCs/>
          <w:spacing w:val="-2"/>
          <w:sz w:val="24"/>
          <w:szCs w:val="24"/>
          <w:highlight w:val="none"/>
        </w:rPr>
        <w:t>充电策略</w:t>
      </w:r>
    </w:p>
    <w:p>
      <w:pPr>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（1）均充充电策略：当只有一辆车在充电时，充电设备所有充电模块最大</w:t>
      </w:r>
      <w:r>
        <w:rPr>
          <w:rFonts w:hint="eastAsia" w:ascii="宋体" w:hAnsi="宋体" w:eastAsia="宋体" w:cs="宋体"/>
          <w:spacing w:val="-4"/>
          <w:sz w:val="24"/>
          <w:szCs w:val="24"/>
          <w:highlight w:val="none"/>
        </w:rPr>
        <w:t>限度满足车辆需</w:t>
      </w:r>
      <w:r>
        <w:rPr>
          <w:rFonts w:hint="eastAsia" w:ascii="宋体" w:hAnsi="宋体" w:eastAsia="宋体" w:cs="宋体"/>
          <w:spacing w:val="-3"/>
          <w:sz w:val="24"/>
          <w:szCs w:val="24"/>
          <w:highlight w:val="none"/>
        </w:rPr>
        <w:t>求。第二辆车来到时功率自动进行均分，每辆车输入的最大功率</w:t>
      </w:r>
      <w:r>
        <w:rPr>
          <w:rFonts w:hint="eastAsia" w:ascii="宋体" w:hAnsi="宋体" w:eastAsia="宋体" w:cs="宋体"/>
          <w:spacing w:val="-4"/>
          <w:sz w:val="24"/>
          <w:szCs w:val="24"/>
          <w:highlight w:val="none"/>
        </w:rPr>
        <w:t>为充电设备最大输出功率的一半,</w:t>
      </w:r>
      <w:r>
        <w:rPr>
          <w:rFonts w:hint="eastAsia" w:ascii="宋体" w:hAnsi="宋体" w:eastAsia="宋体" w:cs="宋体"/>
          <w:spacing w:val="-6"/>
          <w:sz w:val="24"/>
          <w:szCs w:val="24"/>
          <w:highlight w:val="none"/>
        </w:rPr>
        <w:t>以此类推。</w:t>
      </w:r>
    </w:p>
    <w:p>
      <w:pPr>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（2）有主有次充电策略：当第一辆车进行充电时，充电设备所有充电模块最大限度满足第一辆车的充电需求，当第二辆车进行充电时，优先保障第一辆车充电的同时，剩余模块自动分配</w:t>
      </w:r>
      <w:r>
        <w:rPr>
          <w:rFonts w:hint="eastAsia" w:ascii="宋体" w:hAnsi="宋体" w:eastAsia="宋体" w:cs="宋体"/>
          <w:spacing w:val="-7"/>
          <w:sz w:val="24"/>
          <w:szCs w:val="24"/>
          <w:highlight w:val="none"/>
        </w:rPr>
        <w:t>给第二辆车使用</w:t>
      </w:r>
      <w:r>
        <w:rPr>
          <w:rFonts w:hint="eastAsia" w:ascii="宋体" w:hAnsi="宋体" w:eastAsia="宋体" w:cs="宋体"/>
          <w:spacing w:val="-4"/>
          <w:sz w:val="24"/>
          <w:szCs w:val="24"/>
          <w:highlight w:val="none"/>
        </w:rPr>
        <w:t>。</w:t>
      </w:r>
    </w:p>
    <w:p>
      <w:pPr>
        <w:pageBreakBefore w:val="0"/>
        <w:widowControl w:val="0"/>
        <w:kinsoku/>
        <w:wordWrap/>
        <w:overflowPunct/>
        <w:topLinePunct w:val="0"/>
        <w:autoSpaceDE/>
        <w:autoSpaceDN/>
        <w:bidi w:val="0"/>
        <w:adjustRightInd/>
        <w:snapToGrid/>
        <w:spacing w:line="360" w:lineRule="auto"/>
        <w:ind w:firstLine="484"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（3）至少分配一个模块单元充电策略：当有车辆接入充电时，至少保证所有接入的车辆至</w:t>
      </w:r>
      <w:r>
        <w:rPr>
          <w:rFonts w:hint="eastAsia" w:ascii="宋体" w:hAnsi="宋体" w:eastAsia="宋体" w:cs="宋体"/>
          <w:spacing w:val="-4"/>
          <w:sz w:val="24"/>
          <w:szCs w:val="24"/>
          <w:highlight w:val="none"/>
        </w:rPr>
        <w:t>少有一个充电模块为其充电， 多余模块按顺序分配或按发车需</w:t>
      </w:r>
      <w:r>
        <w:rPr>
          <w:rFonts w:hint="eastAsia" w:ascii="宋体" w:hAnsi="宋体" w:eastAsia="宋体" w:cs="宋体"/>
          <w:spacing w:val="-5"/>
          <w:sz w:val="24"/>
          <w:szCs w:val="24"/>
          <w:highlight w:val="none"/>
        </w:rPr>
        <w:t>求分配。</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（4）三种模式可自由切换，具体由招标人提出要求后设定。</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b/>
          <w:bCs/>
          <w:sz w:val="24"/>
          <w:szCs w:val="24"/>
        </w:rPr>
      </w:pPr>
      <w:r>
        <w:rPr>
          <w:rFonts w:hint="eastAsia" w:ascii="宋体" w:hAnsi="宋体" w:eastAsia="宋体" w:cs="宋体"/>
          <w:b/>
          <w:bCs/>
          <w:spacing w:val="-1"/>
          <w:sz w:val="24"/>
          <w:szCs w:val="24"/>
          <w:lang w:val="en-US" w:eastAsia="zh-CN"/>
        </w:rPr>
        <w:t>3.5</w:t>
      </w:r>
      <w:r>
        <w:rPr>
          <w:rFonts w:hint="eastAsia" w:ascii="宋体" w:hAnsi="宋体" w:eastAsia="宋体" w:cs="宋体"/>
          <w:b/>
          <w:bCs/>
          <w:spacing w:val="-2"/>
          <w:sz w:val="24"/>
          <w:szCs w:val="24"/>
        </w:rPr>
        <w:t>显示功能</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充电终端（充电桩）应能通过触摸彩屏（不小于7寸）</w:t>
      </w:r>
      <w:r>
        <w:rPr>
          <w:rFonts w:hint="eastAsia" w:ascii="宋体" w:hAnsi="宋体" w:eastAsia="宋体" w:cs="宋体"/>
          <w:spacing w:val="-2"/>
          <w:sz w:val="24"/>
          <w:szCs w:val="24"/>
          <w:highlight w:val="yellow"/>
          <w:lang w:val="en-US" w:eastAsia="zh-CN"/>
        </w:rPr>
        <w:t>和</w:t>
      </w:r>
      <w:r>
        <w:rPr>
          <w:rFonts w:hint="eastAsia" w:ascii="宋体" w:hAnsi="宋体" w:eastAsia="宋体" w:cs="宋体"/>
          <w:spacing w:val="-2"/>
          <w:sz w:val="24"/>
          <w:szCs w:val="24"/>
        </w:rPr>
        <w:t>在后台终端设备显示充电信息，显</w:t>
      </w:r>
      <w:r>
        <w:rPr>
          <w:rFonts w:hint="eastAsia" w:ascii="宋体" w:hAnsi="宋体" w:eastAsia="宋体" w:cs="宋体"/>
          <w:spacing w:val="-3"/>
          <w:sz w:val="24"/>
          <w:szCs w:val="24"/>
        </w:rPr>
        <w:t>示信息应包括以下内容：</w:t>
      </w:r>
    </w:p>
    <w:p>
      <w:pPr>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4"/>
          <w:szCs w:val="24"/>
        </w:rPr>
      </w:pPr>
      <w:r>
        <w:rPr>
          <w:rFonts w:hint="eastAsia" w:ascii="宋体" w:hAnsi="宋体" w:eastAsia="宋体" w:cs="宋体"/>
          <w:spacing w:val="-5"/>
          <w:sz w:val="24"/>
          <w:szCs w:val="24"/>
        </w:rPr>
        <w:t>（1）应显示的信息：</w:t>
      </w:r>
      <w:r>
        <w:rPr>
          <w:rFonts w:hint="eastAsia" w:ascii="宋体" w:hAnsi="宋体" w:eastAsia="宋体" w:cs="宋体"/>
          <w:spacing w:val="-2"/>
          <w:sz w:val="24"/>
          <w:szCs w:val="24"/>
          <w:highlight w:val="none"/>
        </w:rPr>
        <w:t>电池类型、充电电压、充电电流、已充电时间、充电电量、计费信息</w:t>
      </w:r>
      <w:r>
        <w:rPr>
          <w:rFonts w:hint="eastAsia" w:ascii="宋体" w:hAnsi="宋体" w:eastAsia="宋体" w:cs="宋体"/>
          <w:spacing w:val="-2"/>
          <w:sz w:val="24"/>
          <w:szCs w:val="24"/>
          <w:highlight w:val="none"/>
          <w:lang w:eastAsia="zh-CN"/>
        </w:rPr>
        <w:t>、</w:t>
      </w:r>
      <w:r>
        <w:rPr>
          <w:rFonts w:hint="eastAsia" w:ascii="宋体" w:hAnsi="宋体" w:eastAsia="宋体" w:cs="宋体"/>
          <w:spacing w:val="-6"/>
          <w:sz w:val="24"/>
          <w:szCs w:val="24"/>
          <w:highlight w:val="none"/>
        </w:rPr>
        <w:t>电池单体最高/最低电压</w:t>
      </w:r>
      <w:r>
        <w:rPr>
          <w:rFonts w:hint="eastAsia" w:ascii="宋体" w:hAnsi="宋体" w:eastAsia="宋体" w:cs="宋体"/>
          <w:spacing w:val="-6"/>
          <w:sz w:val="24"/>
          <w:szCs w:val="24"/>
          <w:highlight w:val="none"/>
          <w:lang w:eastAsia="zh-CN"/>
        </w:rPr>
        <w:t>、</w:t>
      </w:r>
      <w:r>
        <w:rPr>
          <w:rFonts w:hint="eastAsia" w:ascii="宋体" w:hAnsi="宋体" w:eastAsia="宋体" w:cs="宋体"/>
          <w:spacing w:val="-7"/>
          <w:sz w:val="24"/>
          <w:szCs w:val="24"/>
          <w:highlight w:val="none"/>
        </w:rPr>
        <w:t>故障及报警信息</w:t>
      </w:r>
      <w:r>
        <w:rPr>
          <w:rFonts w:hint="eastAsia" w:ascii="宋体" w:hAnsi="宋体" w:eastAsia="宋体" w:cs="宋体"/>
          <w:spacing w:val="-7"/>
          <w:sz w:val="24"/>
          <w:szCs w:val="24"/>
          <w:highlight w:val="none"/>
          <w:lang w:eastAsia="zh-CN"/>
        </w:rPr>
        <w:t>、</w:t>
      </w:r>
      <w:r>
        <w:rPr>
          <w:rFonts w:hint="eastAsia" w:ascii="宋体" w:hAnsi="宋体" w:eastAsia="宋体" w:cs="宋体"/>
          <w:spacing w:val="-7"/>
          <w:sz w:val="24"/>
          <w:szCs w:val="24"/>
          <w:highlight w:val="none"/>
        </w:rPr>
        <w:t>预计剩余充电时间、荷电状态SOC</w:t>
      </w:r>
      <w:r>
        <w:rPr>
          <w:rFonts w:hint="eastAsia" w:ascii="宋体" w:hAnsi="宋体" w:eastAsia="宋体" w:cs="宋体"/>
          <w:spacing w:val="-8"/>
          <w:sz w:val="24"/>
          <w:szCs w:val="24"/>
          <w:highlight w:val="none"/>
        </w:rPr>
        <w:t>值</w:t>
      </w:r>
      <w:r>
        <w:rPr>
          <w:rFonts w:hint="eastAsia" w:ascii="宋体" w:hAnsi="宋体" w:eastAsia="宋体" w:cs="宋体"/>
          <w:spacing w:val="-8"/>
          <w:sz w:val="24"/>
          <w:szCs w:val="24"/>
          <w:highlight w:val="none"/>
          <w:lang w:eastAsia="zh-CN"/>
        </w:rPr>
        <w:t>，</w:t>
      </w:r>
      <w:r>
        <w:rPr>
          <w:rFonts w:hint="eastAsia" w:ascii="宋体" w:hAnsi="宋体" w:eastAsia="宋体" w:cs="宋体"/>
          <w:spacing w:val="-1"/>
          <w:sz w:val="24"/>
          <w:szCs w:val="24"/>
          <w:highlight w:val="none"/>
        </w:rPr>
        <w:t>在手动设定过程中应显示人工输入信息。</w:t>
      </w:r>
    </w:p>
    <w:p>
      <w:pPr>
        <w:pageBreakBefore w:val="0"/>
        <w:widowControl w:val="0"/>
        <w:kinsoku/>
        <w:wordWrap/>
        <w:overflowPunct/>
        <w:topLinePunct w:val="0"/>
        <w:autoSpaceDE/>
        <w:autoSpaceDN/>
        <w:bidi w:val="0"/>
        <w:adjustRightInd/>
        <w:snapToGrid/>
        <w:spacing w:line="360" w:lineRule="auto"/>
        <w:ind w:firstLine="452" w:firstLineChars="200"/>
        <w:textAlignment w:val="auto"/>
        <w:rPr>
          <w:rFonts w:hint="eastAsia" w:ascii="宋体" w:hAnsi="宋体" w:eastAsia="宋体" w:cs="宋体"/>
          <w:sz w:val="24"/>
          <w:szCs w:val="24"/>
        </w:rPr>
      </w:pPr>
      <w:r>
        <w:rPr>
          <w:rFonts w:hint="eastAsia" w:ascii="宋体" w:hAnsi="宋体" w:eastAsia="宋体" w:cs="宋体"/>
          <w:spacing w:val="-7"/>
          <w:sz w:val="24"/>
          <w:szCs w:val="24"/>
        </w:rPr>
        <w:t>（2）可显示的信息：电池温度、设定参数、电池单体电压</w:t>
      </w:r>
      <w:r>
        <w:rPr>
          <w:rFonts w:hint="eastAsia" w:ascii="宋体" w:hAnsi="宋体" w:eastAsia="宋体" w:cs="宋体"/>
          <w:spacing w:val="-8"/>
          <w:sz w:val="24"/>
          <w:szCs w:val="24"/>
        </w:rPr>
        <w:t>等。</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（3）充电终端应具备状态指示功能，通过LED状态</w:t>
      </w:r>
      <w:r>
        <w:rPr>
          <w:rFonts w:hint="eastAsia" w:ascii="宋体" w:hAnsi="宋体" w:eastAsia="宋体" w:cs="宋体"/>
          <w:spacing w:val="-2"/>
          <w:sz w:val="24"/>
          <w:szCs w:val="24"/>
        </w:rPr>
        <w:t>灯的颜色变换展示不同充电状态，颜色不</w:t>
      </w:r>
      <w:r>
        <w:rPr>
          <w:rFonts w:hint="eastAsia" w:ascii="宋体" w:hAnsi="宋体" w:eastAsia="宋体" w:cs="宋体"/>
          <w:spacing w:val="-1"/>
          <w:sz w:val="24"/>
          <w:szCs w:val="24"/>
        </w:rPr>
        <w:t>限于绿色、蓝色、红色等，状态不限于空闲、插枪、充电中、故障、急停未复位等。</w:t>
      </w:r>
    </w:p>
    <w:p>
      <w:pPr>
        <w:pageBreakBefore w:val="0"/>
        <w:widowControl w:val="0"/>
        <w:kinsoku/>
        <w:wordWrap/>
        <w:overflowPunct/>
        <w:topLinePunct w:val="0"/>
        <w:autoSpaceDE/>
        <w:autoSpaceDN/>
        <w:bidi w:val="0"/>
        <w:adjustRightInd/>
        <w:snapToGrid/>
        <w:spacing w:line="360" w:lineRule="auto"/>
        <w:ind w:firstLine="474" w:firstLineChars="200"/>
        <w:textAlignment w:val="auto"/>
        <w:rPr>
          <w:rFonts w:hint="eastAsia" w:ascii="宋体" w:hAnsi="宋体" w:eastAsia="宋体" w:cs="宋体"/>
          <w:b/>
          <w:bCs/>
          <w:sz w:val="24"/>
          <w:szCs w:val="24"/>
        </w:rPr>
      </w:pPr>
      <w:r>
        <w:rPr>
          <w:rFonts w:hint="eastAsia" w:ascii="宋体" w:hAnsi="宋体" w:eastAsia="宋体" w:cs="宋体"/>
          <w:b/>
          <w:bCs/>
          <w:spacing w:val="-2"/>
          <w:sz w:val="24"/>
          <w:szCs w:val="24"/>
          <w:lang w:val="en-US" w:eastAsia="zh-CN"/>
        </w:rPr>
        <w:t>3.6</w:t>
      </w:r>
      <w:r>
        <w:rPr>
          <w:rFonts w:hint="eastAsia" w:ascii="宋体" w:hAnsi="宋体" w:eastAsia="宋体" w:cs="宋体"/>
          <w:b/>
          <w:bCs/>
          <w:spacing w:val="-2"/>
          <w:sz w:val="24"/>
          <w:szCs w:val="24"/>
        </w:rPr>
        <w:t>输入功能</w:t>
      </w:r>
    </w:p>
    <w:p>
      <w:pPr>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sz w:val="24"/>
          <w:szCs w:val="24"/>
        </w:rPr>
      </w:pPr>
      <w:r>
        <w:rPr>
          <w:rFonts w:hint="eastAsia" w:ascii="宋体" w:hAnsi="宋体" w:eastAsia="宋体" w:cs="宋体"/>
          <w:spacing w:val="-6"/>
          <w:sz w:val="24"/>
          <w:szCs w:val="24"/>
        </w:rPr>
        <w:t>充电终端（充电桩） 应具备手动输入和控制的功能。</w:t>
      </w:r>
    </w:p>
    <w:p>
      <w:pPr>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充电终端（充电桩）应能通过后台或显示屏设置设备的MAC地址、IP地址</w:t>
      </w:r>
      <w:r>
        <w:rPr>
          <w:rFonts w:hint="eastAsia" w:ascii="宋体" w:hAnsi="宋体" w:eastAsia="宋体" w:cs="宋体"/>
          <w:spacing w:val="-7"/>
          <w:sz w:val="24"/>
          <w:szCs w:val="24"/>
        </w:rPr>
        <w:t>、子网掩码、默认</w:t>
      </w:r>
      <w:r>
        <w:rPr>
          <w:rFonts w:hint="eastAsia" w:ascii="宋体" w:hAnsi="宋体" w:eastAsia="宋体" w:cs="宋体"/>
          <w:spacing w:val="-4"/>
          <w:sz w:val="24"/>
          <w:szCs w:val="24"/>
        </w:rPr>
        <w:t>网关、端口号，中心服务器的 IP 地址、端口号</w:t>
      </w:r>
      <w:r>
        <w:rPr>
          <w:rFonts w:hint="eastAsia" w:ascii="宋体" w:hAnsi="宋体" w:eastAsia="宋体" w:cs="宋体"/>
          <w:spacing w:val="-5"/>
          <w:sz w:val="24"/>
          <w:szCs w:val="24"/>
        </w:rPr>
        <w:t>，充电终端（充电桩）编号，资产编号，充电配</w:t>
      </w:r>
      <w:r>
        <w:rPr>
          <w:rFonts w:hint="eastAsia" w:ascii="宋体" w:hAnsi="宋体" w:eastAsia="宋体" w:cs="宋体"/>
          <w:spacing w:val="-6"/>
          <w:sz w:val="24"/>
          <w:szCs w:val="24"/>
        </w:rPr>
        <w:t>置参数等。</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b/>
          <w:bCs/>
          <w:sz w:val="24"/>
          <w:szCs w:val="24"/>
        </w:rPr>
      </w:pPr>
      <w:r>
        <w:rPr>
          <w:rFonts w:hint="eastAsia" w:ascii="宋体" w:hAnsi="宋体" w:eastAsia="宋体" w:cs="宋体"/>
          <w:b/>
          <w:bCs/>
          <w:spacing w:val="-1"/>
          <w:sz w:val="24"/>
          <w:szCs w:val="24"/>
          <w:lang w:val="en-US" w:eastAsia="zh-CN"/>
        </w:rPr>
        <w:t>3.7</w:t>
      </w:r>
      <w:r>
        <w:rPr>
          <w:rFonts w:hint="eastAsia" w:ascii="宋体" w:hAnsi="宋体" w:eastAsia="宋体" w:cs="宋体"/>
          <w:b/>
          <w:bCs/>
          <w:spacing w:val="-2"/>
          <w:sz w:val="24"/>
          <w:szCs w:val="24"/>
        </w:rPr>
        <w:t>本地数据存储功能</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t>1.3.7.1</w:t>
      </w:r>
      <w:r>
        <w:rPr>
          <w:rFonts w:hint="eastAsia" w:ascii="宋体" w:hAnsi="宋体" w:eastAsia="宋体" w:cs="宋体"/>
          <w:spacing w:val="-1"/>
          <w:sz w:val="24"/>
          <w:szCs w:val="24"/>
        </w:rPr>
        <w:t>交易数据应以记录形式保存在非易失性存</w:t>
      </w:r>
      <w:r>
        <w:rPr>
          <w:rFonts w:hint="eastAsia" w:ascii="宋体" w:hAnsi="宋体" w:eastAsia="宋体" w:cs="宋体"/>
          <w:spacing w:val="-2"/>
          <w:sz w:val="24"/>
          <w:szCs w:val="24"/>
        </w:rPr>
        <w:t>储器内。</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t>1.3.7.</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rPr>
        <w:t>应保证存储数据的正确、连续、完整、有效。</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t>1.3.7.3</w:t>
      </w:r>
      <w:r>
        <w:rPr>
          <w:rFonts w:hint="eastAsia" w:ascii="宋体" w:hAnsi="宋体" w:eastAsia="宋体" w:cs="宋体"/>
          <w:spacing w:val="-1"/>
          <w:sz w:val="24"/>
          <w:szCs w:val="24"/>
        </w:rPr>
        <w:t>应具有不少于 1000 条的记录空间，安全存储周期不少于30天。充电终端（充电桩）</w:t>
      </w:r>
      <w:r>
        <w:rPr>
          <w:rFonts w:hint="eastAsia" w:ascii="宋体" w:hAnsi="宋体" w:eastAsia="宋体" w:cs="宋体"/>
          <w:spacing w:val="-2"/>
          <w:sz w:val="24"/>
          <w:szCs w:val="24"/>
        </w:rPr>
        <w:t>故障告警、充电开始/结束时间、过压告警、过流告警、欠压告警、停电告警等均应有事件记</w:t>
      </w:r>
      <w:r>
        <w:rPr>
          <w:rFonts w:hint="eastAsia" w:ascii="宋体" w:hAnsi="宋体" w:eastAsia="宋体" w:cs="宋体"/>
          <w:spacing w:val="-3"/>
          <w:sz w:val="24"/>
          <w:szCs w:val="24"/>
        </w:rPr>
        <w:t>录，</w:t>
      </w:r>
      <w:r>
        <w:rPr>
          <w:rFonts w:hint="eastAsia" w:ascii="宋体" w:hAnsi="宋体" w:eastAsia="宋体" w:cs="宋体"/>
          <w:spacing w:val="-1"/>
          <w:sz w:val="24"/>
          <w:szCs w:val="24"/>
        </w:rPr>
        <w:t>事件记录具有掉电保持功能，告警信息支持实时远程上传主站。充电记录应能记录最后一次</w:t>
      </w:r>
      <w:r>
        <w:rPr>
          <w:rFonts w:hint="eastAsia" w:ascii="宋体" w:hAnsi="宋体" w:eastAsia="宋体" w:cs="宋体"/>
          <w:spacing w:val="-2"/>
          <w:sz w:val="24"/>
          <w:szCs w:val="24"/>
        </w:rPr>
        <w:t>充电</w:t>
      </w:r>
      <w:r>
        <w:rPr>
          <w:rFonts w:hint="eastAsia" w:ascii="宋体" w:hAnsi="宋体" w:eastAsia="宋体" w:cs="宋体"/>
          <w:spacing w:val="-1"/>
          <w:sz w:val="24"/>
          <w:szCs w:val="24"/>
        </w:rPr>
        <w:t>账单情况等。</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t>1.3.7.4</w:t>
      </w:r>
      <w:r>
        <w:rPr>
          <w:rFonts w:hint="eastAsia" w:ascii="宋体" w:hAnsi="宋体" w:eastAsia="宋体" w:cs="宋体"/>
          <w:spacing w:val="-1"/>
          <w:sz w:val="24"/>
          <w:szCs w:val="24"/>
        </w:rPr>
        <w:t>本地系统自动备份离网数据，并实现上</w:t>
      </w:r>
      <w:r>
        <w:rPr>
          <w:rFonts w:hint="eastAsia" w:ascii="宋体" w:hAnsi="宋体" w:eastAsia="宋体" w:cs="宋体"/>
          <w:spacing w:val="-2"/>
          <w:sz w:val="24"/>
          <w:szCs w:val="24"/>
        </w:rPr>
        <w:t>传到平台。</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sz w:val="24"/>
          <w:szCs w:val="24"/>
        </w:rPr>
      </w:pPr>
      <w:r>
        <w:rPr>
          <w:rFonts w:hint="eastAsia" w:ascii="宋体" w:hAnsi="宋体" w:eastAsia="宋体" w:cs="宋体"/>
          <w:b/>
          <w:bCs/>
          <w:spacing w:val="-1"/>
          <w:sz w:val="24"/>
          <w:szCs w:val="24"/>
          <w:lang w:val="en-US" w:eastAsia="zh-CN"/>
        </w:rPr>
        <w:fldChar w:fldCharType="begin"/>
      </w:r>
      <w:r>
        <w:rPr>
          <w:rFonts w:hint="eastAsia" w:ascii="宋体" w:hAnsi="宋体" w:eastAsia="宋体" w:cs="宋体"/>
          <w:b/>
          <w:bCs/>
          <w:spacing w:val="-1"/>
          <w:sz w:val="24"/>
          <w:szCs w:val="24"/>
          <w:lang w:val="en-US" w:eastAsia="zh-CN"/>
        </w:rPr>
        <w:instrText xml:space="preserve"> HYPERLINK "2.4.3.10" </w:instrText>
      </w:r>
      <w:r>
        <w:rPr>
          <w:rFonts w:hint="eastAsia" w:ascii="宋体" w:hAnsi="宋体" w:eastAsia="宋体" w:cs="宋体"/>
          <w:b/>
          <w:bCs/>
          <w:spacing w:val="-1"/>
          <w:sz w:val="24"/>
          <w:szCs w:val="24"/>
          <w:lang w:val="en-US" w:eastAsia="zh-CN"/>
        </w:rPr>
        <w:fldChar w:fldCharType="separate"/>
      </w:r>
      <w:r>
        <w:rPr>
          <w:rFonts w:hint="eastAsia" w:ascii="宋体" w:hAnsi="宋体" w:eastAsia="宋体" w:cs="宋体"/>
          <w:b/>
          <w:bCs/>
          <w:spacing w:val="-1"/>
          <w:sz w:val="24"/>
          <w:szCs w:val="24"/>
          <w:lang w:val="en-US" w:eastAsia="zh-CN"/>
        </w:rPr>
        <w:t>4.</w:t>
      </w:r>
      <w:r>
        <w:rPr>
          <w:rFonts w:hint="eastAsia" w:ascii="宋体" w:hAnsi="宋体" w:eastAsia="宋体" w:cs="宋体"/>
          <w:b/>
          <w:bCs/>
          <w:spacing w:val="-1"/>
          <w:sz w:val="24"/>
          <w:szCs w:val="24"/>
          <w:lang w:val="en-US" w:eastAsia="zh-CN"/>
        </w:rPr>
        <w:fldChar w:fldCharType="end"/>
      </w:r>
      <w:r>
        <w:rPr>
          <w:rFonts w:hint="eastAsia" w:ascii="宋体" w:hAnsi="宋体" w:eastAsia="宋体" w:cs="宋体"/>
          <w:b/>
          <w:bCs/>
          <w:spacing w:val="-1"/>
          <w:sz w:val="24"/>
          <w:szCs w:val="24"/>
          <w:lang w:val="en-US" w:eastAsia="zh-CN"/>
        </w:rPr>
        <w:t>8</w:t>
      </w:r>
      <w:r>
        <w:rPr>
          <w:rFonts w:hint="eastAsia" w:ascii="宋体" w:hAnsi="宋体" w:eastAsia="宋体" w:cs="宋体"/>
          <w:b/>
          <w:bCs/>
          <w:spacing w:val="-5"/>
          <w:sz w:val="24"/>
          <w:szCs w:val="24"/>
        </w:rPr>
        <w:t>自检功能</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fldChar w:fldCharType="begin"/>
      </w:r>
      <w:r>
        <w:rPr>
          <w:rFonts w:hint="eastAsia" w:ascii="宋体" w:hAnsi="宋体" w:eastAsia="宋体" w:cs="宋体"/>
          <w:spacing w:val="-1"/>
          <w:sz w:val="24"/>
          <w:szCs w:val="24"/>
          <w:lang w:val="en-US" w:eastAsia="zh-CN"/>
        </w:rPr>
        <w:instrText xml:space="preserve"> HYPERLINK "2.4.3.10" </w:instrText>
      </w:r>
      <w:r>
        <w:rPr>
          <w:rFonts w:hint="eastAsia" w:ascii="宋体" w:hAnsi="宋体" w:eastAsia="宋体" w:cs="宋体"/>
          <w:spacing w:val="-1"/>
          <w:sz w:val="24"/>
          <w:szCs w:val="24"/>
          <w:lang w:val="en-US" w:eastAsia="zh-CN"/>
        </w:rPr>
        <w:fldChar w:fldCharType="separate"/>
      </w:r>
      <w:r>
        <w:rPr>
          <w:rFonts w:hint="eastAsia" w:ascii="宋体" w:hAnsi="宋体" w:eastAsia="宋体" w:cs="宋体"/>
          <w:spacing w:val="-1"/>
          <w:sz w:val="24"/>
          <w:szCs w:val="24"/>
          <w:lang w:val="en-US" w:eastAsia="zh-CN"/>
        </w:rPr>
        <w:t>1.4.</w:t>
      </w:r>
      <w:r>
        <w:rPr>
          <w:rFonts w:hint="eastAsia" w:ascii="宋体" w:hAnsi="宋体" w:eastAsia="宋体" w:cs="宋体"/>
          <w:spacing w:val="-1"/>
          <w:sz w:val="24"/>
          <w:szCs w:val="24"/>
          <w:lang w:val="en-US" w:eastAsia="zh-CN"/>
        </w:rPr>
        <w:fldChar w:fldCharType="end"/>
      </w:r>
      <w:r>
        <w:rPr>
          <w:rFonts w:hint="eastAsia" w:ascii="宋体" w:hAnsi="宋体" w:eastAsia="宋体" w:cs="宋体"/>
          <w:spacing w:val="-1"/>
          <w:sz w:val="24"/>
          <w:szCs w:val="24"/>
          <w:lang w:val="en-US" w:eastAsia="zh-CN"/>
        </w:rPr>
        <w:t>8.1</w:t>
      </w:r>
      <w:r>
        <w:rPr>
          <w:rFonts w:hint="eastAsia" w:ascii="宋体" w:hAnsi="宋体" w:eastAsia="宋体" w:cs="宋体"/>
          <w:spacing w:val="1"/>
          <w:sz w:val="24"/>
          <w:szCs w:val="24"/>
        </w:rPr>
        <w:t>上电操作时，充电终端（充电桩）应</w:t>
      </w:r>
      <w:r>
        <w:rPr>
          <w:rFonts w:hint="eastAsia" w:ascii="宋体" w:hAnsi="宋体" w:eastAsia="宋体" w:cs="宋体"/>
          <w:sz w:val="24"/>
          <w:szCs w:val="24"/>
        </w:rPr>
        <w:t>先进行自检，检查内容应包括时钟、供电情况、</w:t>
      </w:r>
      <w:r>
        <w:rPr>
          <w:rFonts w:hint="eastAsia" w:ascii="宋体" w:hAnsi="宋体" w:eastAsia="宋体" w:cs="宋体"/>
          <w:spacing w:val="-3"/>
          <w:sz w:val="24"/>
          <w:szCs w:val="24"/>
        </w:rPr>
        <w:t>费率配置情况、存储空间等。</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lang w:val="en-US" w:eastAsia="zh-CN"/>
        </w:rPr>
        <w:fldChar w:fldCharType="begin"/>
      </w:r>
      <w:r>
        <w:rPr>
          <w:rFonts w:hint="eastAsia" w:ascii="宋体" w:hAnsi="宋体" w:eastAsia="宋体" w:cs="宋体"/>
          <w:spacing w:val="-1"/>
          <w:sz w:val="24"/>
          <w:szCs w:val="24"/>
          <w:lang w:val="en-US" w:eastAsia="zh-CN"/>
        </w:rPr>
        <w:instrText xml:space="preserve"> HYPERLINK "2.4.3.10" </w:instrText>
      </w:r>
      <w:r>
        <w:rPr>
          <w:rFonts w:hint="eastAsia" w:ascii="宋体" w:hAnsi="宋体" w:eastAsia="宋体" w:cs="宋体"/>
          <w:spacing w:val="-1"/>
          <w:sz w:val="24"/>
          <w:szCs w:val="24"/>
          <w:lang w:val="en-US" w:eastAsia="zh-CN"/>
        </w:rPr>
        <w:fldChar w:fldCharType="separate"/>
      </w:r>
      <w:r>
        <w:rPr>
          <w:rFonts w:hint="eastAsia" w:ascii="宋体" w:hAnsi="宋体" w:eastAsia="宋体" w:cs="宋体"/>
          <w:spacing w:val="-1"/>
          <w:sz w:val="24"/>
          <w:szCs w:val="24"/>
          <w:lang w:val="en-US" w:eastAsia="zh-CN"/>
        </w:rPr>
        <w:t>1.4.</w:t>
      </w:r>
      <w:r>
        <w:rPr>
          <w:rFonts w:hint="eastAsia" w:ascii="宋体" w:hAnsi="宋体" w:eastAsia="宋体" w:cs="宋体"/>
          <w:spacing w:val="-1"/>
          <w:sz w:val="24"/>
          <w:szCs w:val="24"/>
          <w:lang w:val="en-US" w:eastAsia="zh-CN"/>
        </w:rPr>
        <w:fldChar w:fldCharType="end"/>
      </w:r>
      <w:r>
        <w:rPr>
          <w:rFonts w:hint="eastAsia" w:ascii="宋体" w:hAnsi="宋体" w:eastAsia="宋体" w:cs="宋体"/>
          <w:spacing w:val="-1"/>
          <w:sz w:val="24"/>
          <w:szCs w:val="24"/>
          <w:lang w:val="en-US" w:eastAsia="zh-CN"/>
        </w:rPr>
        <w:t>8.2</w:t>
      </w:r>
      <w:r>
        <w:rPr>
          <w:rFonts w:hint="eastAsia" w:ascii="宋体" w:hAnsi="宋体" w:eastAsia="宋体" w:cs="宋体"/>
          <w:spacing w:val="1"/>
          <w:sz w:val="24"/>
          <w:szCs w:val="24"/>
        </w:rPr>
        <w:t>应能通过状态指示灯或显示屏等方式显示故障信息，形成故障情况信息记录并上传至</w:t>
      </w:r>
      <w:r>
        <w:rPr>
          <w:rFonts w:hint="eastAsia" w:ascii="宋体" w:hAnsi="宋体" w:eastAsia="宋体" w:cs="宋体"/>
          <w:spacing w:val="-4"/>
          <w:sz w:val="24"/>
          <w:szCs w:val="24"/>
        </w:rPr>
        <w:t>上级监控管理系统。</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sz w:val="24"/>
          <w:szCs w:val="24"/>
        </w:rPr>
      </w:pPr>
      <w:r>
        <w:rPr>
          <w:rFonts w:hint="eastAsia" w:ascii="宋体" w:hAnsi="宋体" w:eastAsia="宋体" w:cs="宋体"/>
          <w:b/>
          <w:bCs/>
          <w:spacing w:val="-1"/>
          <w:sz w:val="24"/>
          <w:szCs w:val="24"/>
          <w:lang w:val="en-US" w:eastAsia="zh-CN"/>
        </w:rPr>
        <w:fldChar w:fldCharType="begin"/>
      </w:r>
      <w:r>
        <w:rPr>
          <w:rFonts w:hint="eastAsia" w:ascii="宋体" w:hAnsi="宋体" w:eastAsia="宋体" w:cs="宋体"/>
          <w:b/>
          <w:bCs/>
          <w:spacing w:val="-1"/>
          <w:sz w:val="24"/>
          <w:szCs w:val="24"/>
          <w:lang w:val="en-US" w:eastAsia="zh-CN"/>
        </w:rPr>
        <w:instrText xml:space="preserve"> HYPERLINK "2.4.3.13" </w:instrText>
      </w:r>
      <w:r>
        <w:rPr>
          <w:rFonts w:hint="eastAsia" w:ascii="宋体" w:hAnsi="宋体" w:eastAsia="宋体" w:cs="宋体"/>
          <w:b/>
          <w:bCs/>
          <w:spacing w:val="-1"/>
          <w:sz w:val="24"/>
          <w:szCs w:val="24"/>
          <w:lang w:val="en-US" w:eastAsia="zh-CN"/>
        </w:rPr>
        <w:fldChar w:fldCharType="separate"/>
      </w:r>
      <w:r>
        <w:rPr>
          <w:rFonts w:hint="eastAsia" w:ascii="宋体" w:hAnsi="宋体" w:eastAsia="宋体" w:cs="宋体"/>
          <w:b/>
          <w:bCs/>
          <w:spacing w:val="-1"/>
          <w:sz w:val="24"/>
          <w:szCs w:val="24"/>
          <w:lang w:val="en-US" w:eastAsia="zh-CN"/>
        </w:rPr>
        <w:t>4.9</w:t>
      </w:r>
      <w:r>
        <w:rPr>
          <w:rFonts w:hint="eastAsia" w:ascii="宋体" w:hAnsi="宋体" w:eastAsia="宋体" w:cs="宋体"/>
          <w:b/>
          <w:bCs/>
          <w:spacing w:val="-1"/>
          <w:sz w:val="24"/>
          <w:szCs w:val="24"/>
          <w:lang w:val="en-US" w:eastAsia="zh-CN"/>
        </w:rPr>
        <w:fldChar w:fldCharType="end"/>
      </w:r>
      <w:r>
        <w:rPr>
          <w:rFonts w:hint="eastAsia" w:ascii="宋体" w:hAnsi="宋体" w:eastAsia="宋体" w:cs="宋体"/>
          <w:b/>
          <w:bCs/>
          <w:spacing w:val="-1"/>
          <w:sz w:val="24"/>
          <w:szCs w:val="24"/>
        </w:rPr>
        <w:t>与上级监控管理系统通信功能</w:t>
      </w:r>
    </w:p>
    <w:p>
      <w:pPr>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pacing w:val="-5"/>
          <w:sz w:val="24"/>
          <w:szCs w:val="24"/>
          <w:lang w:val="en-US" w:eastAsia="zh-CN"/>
        </w:rPr>
      </w:pPr>
      <w:r>
        <w:rPr>
          <w:rFonts w:hint="eastAsia" w:ascii="宋体" w:hAnsi="宋体" w:eastAsia="宋体" w:cs="宋体"/>
          <w:spacing w:val="-4"/>
          <w:sz w:val="24"/>
          <w:szCs w:val="24"/>
        </w:rPr>
        <w:t>充电终端（充电桩）应具备与上级监控管理系统通</w:t>
      </w:r>
      <w:r>
        <w:rPr>
          <w:rFonts w:hint="eastAsia" w:ascii="宋体" w:hAnsi="宋体" w:eastAsia="宋体" w:cs="宋体"/>
          <w:spacing w:val="-4"/>
          <w:sz w:val="24"/>
          <w:szCs w:val="24"/>
          <w:highlight w:val="none"/>
        </w:rPr>
        <w:t>信的功能， 通信协议应能满足国家相关标</w:t>
      </w:r>
      <w:r>
        <w:rPr>
          <w:rFonts w:hint="eastAsia" w:ascii="宋体" w:hAnsi="宋体" w:eastAsia="宋体" w:cs="宋体"/>
          <w:spacing w:val="-6"/>
          <w:sz w:val="24"/>
          <w:szCs w:val="24"/>
          <w:highlight w:val="none"/>
        </w:rPr>
        <w:t>准的规定。</w:t>
      </w:r>
      <w:r>
        <w:rPr>
          <w:rFonts w:hint="eastAsia" w:ascii="宋体" w:hAnsi="宋体" w:eastAsia="宋体" w:cs="宋体"/>
          <w:spacing w:val="-5"/>
          <w:sz w:val="24"/>
          <w:szCs w:val="24"/>
          <w:highlight w:val="none"/>
        </w:rPr>
        <w:t>充电终端（充电桩） 配置以太网接口和4G通</w:t>
      </w:r>
      <w:r>
        <w:rPr>
          <w:rFonts w:hint="eastAsia" w:ascii="宋体" w:hAnsi="宋体" w:eastAsia="宋体" w:cs="宋体"/>
          <w:spacing w:val="-6"/>
          <w:sz w:val="24"/>
          <w:szCs w:val="24"/>
          <w:highlight w:val="none"/>
        </w:rPr>
        <w:t>讯模块，可采用以太网、4G通讯流量卡连接网</w:t>
      </w:r>
      <w:r>
        <w:rPr>
          <w:rFonts w:hint="eastAsia" w:ascii="宋体" w:hAnsi="宋体" w:eastAsia="宋体" w:cs="宋体"/>
          <w:spacing w:val="-1"/>
          <w:sz w:val="24"/>
          <w:szCs w:val="24"/>
          <w:highlight w:val="none"/>
        </w:rPr>
        <w:t>络，手机 APP、PAD、PC 登陆云平台进行充电状态的监控、查询及控制功能。受后台通讯频次与</w:t>
      </w:r>
      <w:r>
        <w:rPr>
          <w:rFonts w:hint="eastAsia" w:ascii="宋体" w:hAnsi="宋体" w:eastAsia="宋体" w:cs="宋体"/>
          <w:spacing w:val="-3"/>
          <w:sz w:val="24"/>
          <w:szCs w:val="24"/>
          <w:highlight w:val="none"/>
        </w:rPr>
        <w:t>数据要求，配置流量卡具备每月不低于500M流量/终端，每个车位可单独计量、计费、通信，流</w:t>
      </w:r>
      <w:r>
        <w:rPr>
          <w:rFonts w:hint="eastAsia" w:ascii="宋体" w:hAnsi="宋体" w:eastAsia="宋体" w:cs="宋体"/>
          <w:spacing w:val="-1"/>
          <w:sz w:val="24"/>
          <w:szCs w:val="24"/>
          <w:highlight w:val="none"/>
        </w:rPr>
        <w:t>量卡由投标人提供，</w:t>
      </w:r>
      <w:r>
        <w:rPr>
          <w:rFonts w:hint="eastAsia" w:ascii="宋体" w:hAnsi="宋体" w:eastAsia="宋体" w:cs="宋体"/>
          <w:spacing w:val="-1"/>
          <w:sz w:val="24"/>
          <w:szCs w:val="24"/>
        </w:rPr>
        <w:t>自行计入成本，通讯运营商的选择根据充电站所在位置选择网络较好的运营</w:t>
      </w:r>
      <w:r>
        <w:rPr>
          <w:rFonts w:hint="eastAsia" w:ascii="宋体" w:hAnsi="宋体" w:eastAsia="宋体" w:cs="宋体"/>
          <w:spacing w:val="-2"/>
          <w:sz w:val="24"/>
          <w:szCs w:val="24"/>
        </w:rPr>
        <w:t>商，由招标人在下单时提供。</w:t>
      </w:r>
      <w:r>
        <w:rPr>
          <w:rFonts w:hint="eastAsia" w:ascii="宋体" w:hAnsi="宋体" w:eastAsia="宋体" w:cs="宋体"/>
          <w:spacing w:val="-4"/>
          <w:sz w:val="24"/>
          <w:szCs w:val="24"/>
        </w:rPr>
        <w:t>充电终端（充电桩） 应支持通过以太网与上</w:t>
      </w:r>
      <w:r>
        <w:rPr>
          <w:rFonts w:hint="eastAsia" w:ascii="宋体" w:hAnsi="宋体" w:eastAsia="宋体" w:cs="宋体"/>
          <w:spacing w:val="-5"/>
          <w:sz w:val="24"/>
          <w:szCs w:val="24"/>
        </w:rPr>
        <w:t>级监控系统通信</w:t>
      </w:r>
      <w:r>
        <w:rPr>
          <w:rFonts w:hint="eastAsia" w:ascii="宋体" w:hAnsi="宋体" w:eastAsia="宋体" w:cs="宋体"/>
          <w:spacing w:val="-5"/>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sz w:val="24"/>
          <w:szCs w:val="24"/>
        </w:rPr>
      </w:pPr>
      <w:r>
        <w:rPr>
          <w:rFonts w:hint="eastAsia" w:ascii="宋体" w:hAnsi="宋体" w:eastAsia="宋体" w:cs="宋体"/>
          <w:b/>
          <w:bCs/>
          <w:spacing w:val="-1"/>
          <w:sz w:val="24"/>
          <w:szCs w:val="24"/>
          <w:lang w:val="en-US" w:eastAsia="zh-CN"/>
        </w:rPr>
        <w:fldChar w:fldCharType="begin"/>
      </w:r>
      <w:r>
        <w:rPr>
          <w:rFonts w:hint="eastAsia" w:ascii="宋体" w:hAnsi="宋体" w:eastAsia="宋体" w:cs="宋体"/>
          <w:b/>
          <w:bCs/>
          <w:spacing w:val="-1"/>
          <w:sz w:val="24"/>
          <w:szCs w:val="24"/>
          <w:lang w:val="en-US" w:eastAsia="zh-CN"/>
        </w:rPr>
        <w:instrText xml:space="preserve"> HYPERLINK "2.4.3.14" </w:instrText>
      </w:r>
      <w:r>
        <w:rPr>
          <w:rFonts w:hint="eastAsia" w:ascii="宋体" w:hAnsi="宋体" w:eastAsia="宋体" w:cs="宋体"/>
          <w:b/>
          <w:bCs/>
          <w:spacing w:val="-1"/>
          <w:sz w:val="24"/>
          <w:szCs w:val="24"/>
          <w:lang w:val="en-US" w:eastAsia="zh-CN"/>
        </w:rPr>
        <w:fldChar w:fldCharType="separate"/>
      </w:r>
      <w:r>
        <w:rPr>
          <w:rFonts w:hint="eastAsia" w:ascii="宋体" w:hAnsi="宋体" w:eastAsia="宋体" w:cs="宋体"/>
          <w:b/>
          <w:bCs/>
          <w:spacing w:val="-1"/>
          <w:sz w:val="24"/>
          <w:szCs w:val="24"/>
          <w:lang w:val="en-US" w:eastAsia="zh-CN"/>
        </w:rPr>
        <w:t>4.1</w:t>
      </w:r>
      <w:r>
        <w:rPr>
          <w:rFonts w:hint="eastAsia" w:ascii="宋体" w:hAnsi="宋体" w:eastAsia="宋体" w:cs="宋体"/>
          <w:b/>
          <w:bCs/>
          <w:spacing w:val="-1"/>
          <w:sz w:val="24"/>
          <w:szCs w:val="24"/>
          <w:lang w:val="en-US" w:eastAsia="zh-CN"/>
        </w:rPr>
        <w:fldChar w:fldCharType="end"/>
      </w:r>
      <w:r>
        <w:rPr>
          <w:rFonts w:hint="eastAsia" w:ascii="宋体" w:hAnsi="宋体" w:eastAsia="宋体" w:cs="宋体"/>
          <w:b/>
          <w:bCs/>
          <w:spacing w:val="-1"/>
          <w:sz w:val="24"/>
          <w:szCs w:val="24"/>
          <w:lang w:val="en-US" w:eastAsia="zh-CN"/>
        </w:rPr>
        <w:t>0</w:t>
      </w:r>
      <w:r>
        <w:rPr>
          <w:rFonts w:hint="eastAsia" w:ascii="宋体" w:hAnsi="宋体" w:eastAsia="宋体" w:cs="宋体"/>
          <w:b/>
          <w:bCs/>
          <w:spacing w:val="-2"/>
          <w:sz w:val="24"/>
          <w:szCs w:val="24"/>
        </w:rPr>
        <w:t>远程升级</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配置 4G 通讯模块，通讯费用由卖方承担，可通过监控运维平台控制充电设备烧写程序，实现远程一键升级，支持TCU升级，以及新国标更新等带来的控制模式升级。</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sz w:val="24"/>
          <w:szCs w:val="24"/>
        </w:rPr>
      </w:pPr>
      <w:r>
        <w:rPr>
          <w:rFonts w:hint="eastAsia" w:ascii="宋体" w:hAnsi="宋体" w:eastAsia="宋体" w:cs="宋体"/>
          <w:b/>
          <w:bCs/>
          <w:spacing w:val="-1"/>
          <w:sz w:val="24"/>
          <w:szCs w:val="24"/>
          <w:lang w:val="en-US" w:eastAsia="zh-CN"/>
        </w:rPr>
        <w:fldChar w:fldCharType="begin"/>
      </w:r>
      <w:r>
        <w:rPr>
          <w:rFonts w:hint="eastAsia" w:ascii="宋体" w:hAnsi="宋体" w:eastAsia="宋体" w:cs="宋体"/>
          <w:b/>
          <w:bCs/>
          <w:spacing w:val="-1"/>
          <w:sz w:val="24"/>
          <w:szCs w:val="24"/>
          <w:lang w:val="en-US" w:eastAsia="zh-CN"/>
        </w:rPr>
        <w:instrText xml:space="preserve"> HYPERLINK "2.4.3.16" </w:instrText>
      </w:r>
      <w:r>
        <w:rPr>
          <w:rFonts w:hint="eastAsia" w:ascii="宋体" w:hAnsi="宋体" w:eastAsia="宋体" w:cs="宋体"/>
          <w:b/>
          <w:bCs/>
          <w:spacing w:val="-1"/>
          <w:sz w:val="24"/>
          <w:szCs w:val="24"/>
          <w:lang w:val="en-US" w:eastAsia="zh-CN"/>
        </w:rPr>
        <w:fldChar w:fldCharType="separate"/>
      </w:r>
      <w:r>
        <w:rPr>
          <w:rFonts w:hint="eastAsia" w:ascii="宋体" w:hAnsi="宋体" w:eastAsia="宋体" w:cs="宋体"/>
          <w:b/>
          <w:bCs/>
          <w:spacing w:val="-1"/>
          <w:sz w:val="24"/>
          <w:szCs w:val="24"/>
          <w:lang w:val="en-US" w:eastAsia="zh-CN"/>
        </w:rPr>
        <w:t>4.1</w:t>
      </w:r>
      <w:r>
        <w:rPr>
          <w:rFonts w:hint="eastAsia" w:ascii="宋体" w:hAnsi="宋体" w:eastAsia="宋体" w:cs="宋体"/>
          <w:b/>
          <w:bCs/>
          <w:spacing w:val="-1"/>
          <w:sz w:val="24"/>
          <w:szCs w:val="24"/>
          <w:lang w:val="en-US" w:eastAsia="zh-CN"/>
        </w:rPr>
        <w:fldChar w:fldCharType="end"/>
      </w:r>
      <w:r>
        <w:rPr>
          <w:rFonts w:hint="eastAsia" w:ascii="宋体" w:hAnsi="宋体" w:eastAsia="宋体" w:cs="宋体"/>
          <w:b/>
          <w:bCs/>
          <w:spacing w:val="-1"/>
          <w:sz w:val="24"/>
          <w:szCs w:val="24"/>
          <w:lang w:val="en-US" w:eastAsia="zh-CN"/>
        </w:rPr>
        <w:t>1</w:t>
      </w:r>
      <w:r>
        <w:rPr>
          <w:rFonts w:hint="eastAsia" w:ascii="宋体" w:hAnsi="宋体" w:eastAsia="宋体" w:cs="宋体"/>
          <w:b/>
          <w:bCs/>
          <w:spacing w:val="-2"/>
          <w:sz w:val="24"/>
          <w:szCs w:val="24"/>
        </w:rPr>
        <w:t>急停</w:t>
      </w:r>
    </w:p>
    <w:p>
      <w:pPr>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充电终端（充电桩）应装设急停保护装置，即在紧急情况下,可从硬件上切断充电回路，以</w:t>
      </w:r>
      <w:r>
        <w:rPr>
          <w:rFonts w:hint="eastAsia" w:ascii="宋体" w:hAnsi="宋体" w:eastAsia="宋体" w:cs="宋体"/>
          <w:spacing w:val="-2"/>
          <w:sz w:val="24"/>
          <w:szCs w:val="24"/>
        </w:rPr>
        <w:t>便在紧急情况时能够强行终止充电。</w:t>
      </w:r>
      <w:r>
        <w:rPr>
          <w:rFonts w:hint="eastAsia" w:ascii="宋体" w:hAnsi="宋体" w:eastAsia="宋体" w:cs="宋体"/>
          <w:spacing w:val="-5"/>
          <w:sz w:val="24"/>
          <w:szCs w:val="24"/>
        </w:rPr>
        <w:t>急停装置应装设透明保护罩防止误操作，整体不应凸出，只有破坏防护罩才能按下急停按钮，</w:t>
      </w:r>
      <w:r>
        <w:rPr>
          <w:rFonts w:hint="eastAsia" w:ascii="宋体" w:hAnsi="宋体" w:eastAsia="宋体" w:cs="宋体"/>
          <w:spacing w:val="-3"/>
          <w:sz w:val="24"/>
          <w:szCs w:val="24"/>
        </w:rPr>
        <w:t>防止误操作和认为破坏。</w:t>
      </w:r>
      <w:r>
        <w:rPr>
          <w:rFonts w:hint="eastAsia" w:ascii="宋体" w:hAnsi="宋体" w:eastAsia="宋体" w:cs="宋体"/>
          <w:spacing w:val="-5"/>
          <w:sz w:val="24"/>
          <w:szCs w:val="24"/>
        </w:rPr>
        <w:t>充电终端（充电桩）急停后应能有效保存设备断电前的状态和计量计费信息，并及时、准确</w:t>
      </w:r>
      <w:r>
        <w:rPr>
          <w:rFonts w:hint="eastAsia" w:ascii="宋体" w:hAnsi="宋体" w:eastAsia="宋体" w:cs="宋体"/>
          <w:spacing w:val="-3"/>
          <w:sz w:val="24"/>
          <w:szCs w:val="24"/>
        </w:rPr>
        <w:t>上传至监控平台进行结算。</w:t>
      </w:r>
    </w:p>
    <w:p>
      <w:pPr>
        <w:pageBreakBefore w:val="0"/>
        <w:widowControl w:val="0"/>
        <w:kinsoku/>
        <w:wordWrap/>
        <w:overflowPunct/>
        <w:topLinePunct w:val="0"/>
        <w:autoSpaceDE/>
        <w:autoSpaceDN/>
        <w:bidi w:val="0"/>
        <w:adjustRightInd/>
        <w:snapToGrid/>
        <w:spacing w:line="360" w:lineRule="auto"/>
        <w:ind w:firstLine="478" w:firstLineChars="200"/>
        <w:textAlignment w:val="auto"/>
        <w:rPr>
          <w:rFonts w:hint="eastAsia" w:ascii="宋体" w:hAnsi="宋体" w:eastAsia="宋体" w:cs="宋体"/>
          <w:sz w:val="24"/>
          <w:szCs w:val="24"/>
          <w:highlight w:val="none"/>
        </w:rPr>
      </w:pPr>
      <w:r>
        <w:rPr>
          <w:rFonts w:hint="eastAsia" w:ascii="宋体" w:hAnsi="宋体" w:eastAsia="宋体" w:cs="宋体"/>
          <w:b/>
          <w:bCs/>
          <w:spacing w:val="-1"/>
          <w:sz w:val="24"/>
          <w:szCs w:val="24"/>
          <w:highlight w:val="none"/>
          <w:lang w:val="en-US" w:eastAsia="zh-CN"/>
        </w:rPr>
        <w:fldChar w:fldCharType="begin"/>
      </w:r>
      <w:r>
        <w:rPr>
          <w:rFonts w:hint="eastAsia" w:ascii="宋体" w:hAnsi="宋体" w:eastAsia="宋体" w:cs="宋体"/>
          <w:b/>
          <w:bCs/>
          <w:spacing w:val="-1"/>
          <w:sz w:val="24"/>
          <w:szCs w:val="24"/>
          <w:highlight w:val="none"/>
          <w:lang w:val="en-US" w:eastAsia="zh-CN"/>
        </w:rPr>
        <w:instrText xml:space="preserve"> HYPERLINK "2.4.3.16" </w:instrText>
      </w:r>
      <w:r>
        <w:rPr>
          <w:rFonts w:hint="eastAsia" w:ascii="宋体" w:hAnsi="宋体" w:eastAsia="宋体" w:cs="宋体"/>
          <w:b/>
          <w:bCs/>
          <w:spacing w:val="-1"/>
          <w:sz w:val="24"/>
          <w:szCs w:val="24"/>
          <w:highlight w:val="none"/>
          <w:lang w:val="en-US" w:eastAsia="zh-CN"/>
        </w:rPr>
        <w:fldChar w:fldCharType="separate"/>
      </w:r>
      <w:r>
        <w:rPr>
          <w:rFonts w:hint="eastAsia" w:ascii="宋体" w:hAnsi="宋体" w:eastAsia="宋体" w:cs="宋体"/>
          <w:b/>
          <w:bCs/>
          <w:spacing w:val="-1"/>
          <w:sz w:val="24"/>
          <w:szCs w:val="24"/>
          <w:highlight w:val="none"/>
          <w:lang w:val="en-US" w:eastAsia="zh-CN"/>
        </w:rPr>
        <w:t>4.1</w:t>
      </w:r>
      <w:r>
        <w:rPr>
          <w:rFonts w:hint="eastAsia" w:ascii="宋体" w:hAnsi="宋体" w:eastAsia="宋体" w:cs="宋体"/>
          <w:b/>
          <w:bCs/>
          <w:spacing w:val="-1"/>
          <w:sz w:val="24"/>
          <w:szCs w:val="24"/>
          <w:highlight w:val="none"/>
          <w:lang w:val="en-US" w:eastAsia="zh-CN"/>
        </w:rPr>
        <w:fldChar w:fldCharType="end"/>
      </w:r>
      <w:r>
        <w:rPr>
          <w:rFonts w:hint="eastAsia" w:ascii="宋体" w:hAnsi="宋体" w:eastAsia="宋体" w:cs="宋体"/>
          <w:b/>
          <w:bCs/>
          <w:spacing w:val="-1"/>
          <w:sz w:val="24"/>
          <w:szCs w:val="24"/>
          <w:highlight w:val="none"/>
          <w:lang w:val="en-US" w:eastAsia="zh-CN"/>
        </w:rPr>
        <w:t>2</w:t>
      </w:r>
      <w:r>
        <w:rPr>
          <w:rFonts w:hint="eastAsia" w:ascii="宋体" w:hAnsi="宋体" w:eastAsia="宋体" w:cs="宋体"/>
          <w:b/>
          <w:bCs/>
          <w:spacing w:val="-2"/>
          <w:sz w:val="24"/>
          <w:szCs w:val="24"/>
          <w:highlight w:val="none"/>
        </w:rPr>
        <w:t>智能环控</w:t>
      </w:r>
    </w:p>
    <w:p>
      <w:pPr>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充电设备（主机充电机柜、充电终端） 内部设立智能温湿度控制系统，保证设备的安全、稳</w:t>
      </w:r>
      <w:r>
        <w:rPr>
          <w:rFonts w:hint="eastAsia" w:ascii="宋体" w:hAnsi="宋体" w:eastAsia="宋体" w:cs="宋体"/>
          <w:spacing w:val="-4"/>
          <w:sz w:val="24"/>
          <w:szCs w:val="24"/>
          <w:highlight w:val="none"/>
        </w:rPr>
        <w:t>定、可靠运行。</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"2.4.3.18" </w:instrText>
      </w:r>
      <w:r>
        <w:rPr>
          <w:rFonts w:hint="eastAsia" w:ascii="宋体" w:hAnsi="宋体" w:eastAsia="宋体" w:cs="宋体"/>
          <w:b/>
          <w:bCs/>
          <w:sz w:val="24"/>
          <w:szCs w:val="24"/>
        </w:rPr>
        <w:fldChar w:fldCharType="separate"/>
      </w:r>
      <w:r>
        <w:rPr>
          <w:rFonts w:hint="eastAsia" w:ascii="宋体" w:hAnsi="宋体" w:eastAsia="宋体" w:cs="宋体"/>
          <w:b/>
          <w:bCs/>
          <w:spacing w:val="-1"/>
          <w:sz w:val="24"/>
          <w:szCs w:val="24"/>
        </w:rPr>
        <w:t>4.</w:t>
      </w:r>
      <w:r>
        <w:rPr>
          <w:rFonts w:hint="eastAsia" w:ascii="宋体" w:hAnsi="宋体" w:eastAsia="宋体" w:cs="宋体"/>
          <w:b/>
          <w:bCs/>
          <w:spacing w:val="-1"/>
          <w:sz w:val="24"/>
          <w:szCs w:val="24"/>
          <w:lang w:val="en-US" w:eastAsia="zh-CN"/>
        </w:rPr>
        <w:t>1</w:t>
      </w:r>
      <w:r>
        <w:rPr>
          <w:rFonts w:hint="eastAsia" w:ascii="宋体" w:hAnsi="宋体" w:eastAsia="宋体" w:cs="宋体"/>
          <w:b/>
          <w:bCs/>
          <w:spacing w:val="-1"/>
          <w:sz w:val="24"/>
          <w:szCs w:val="24"/>
        </w:rPr>
        <w:fldChar w:fldCharType="end"/>
      </w:r>
      <w:r>
        <w:rPr>
          <w:rFonts w:hint="eastAsia" w:ascii="宋体" w:hAnsi="宋体" w:eastAsia="宋体" w:cs="宋体"/>
          <w:b/>
          <w:bCs/>
          <w:spacing w:val="-1"/>
          <w:sz w:val="24"/>
          <w:szCs w:val="24"/>
          <w:lang w:val="en-US" w:eastAsia="zh-CN"/>
        </w:rPr>
        <w:t>3其他</w:t>
      </w:r>
      <w:r>
        <w:rPr>
          <w:rFonts w:hint="eastAsia" w:ascii="宋体" w:hAnsi="宋体" w:eastAsia="宋体" w:cs="宋体"/>
          <w:b/>
          <w:bCs/>
          <w:spacing w:val="-1"/>
          <w:sz w:val="24"/>
          <w:szCs w:val="24"/>
        </w:rPr>
        <w:t>功能要求</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4.13.1充电桩还应具备以下功能：</w:t>
      </w:r>
      <w:r>
        <w:rPr>
          <w:rFonts w:hint="eastAsia" w:ascii="宋体" w:hAnsi="宋体" w:eastAsia="宋体" w:cs="宋体"/>
          <w:spacing w:val="-2"/>
          <w:sz w:val="24"/>
          <w:szCs w:val="24"/>
          <w:highlight w:val="none"/>
        </w:rPr>
        <w:t>充电桩具备智能海拔降额功能</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VIN码充电</w:t>
      </w:r>
      <w:r>
        <w:rPr>
          <w:rFonts w:hint="eastAsia" w:ascii="宋体" w:hAnsi="宋体" w:eastAsia="宋体" w:cs="宋体"/>
          <w:spacing w:val="-2"/>
          <w:sz w:val="24"/>
          <w:szCs w:val="24"/>
          <w:highlight w:val="none"/>
          <w:lang w:eastAsia="zh-CN"/>
        </w:rPr>
        <w:t>、</w:t>
      </w:r>
      <w:r>
        <w:rPr>
          <w:rFonts w:hint="eastAsia" w:ascii="宋体" w:hAnsi="宋体" w:eastAsia="宋体" w:cs="宋体"/>
          <w:spacing w:val="-1"/>
          <w:sz w:val="24"/>
          <w:szCs w:val="24"/>
          <w:highlight w:val="none"/>
        </w:rPr>
        <w:t>定期维护提醒功能</w:t>
      </w:r>
      <w:r>
        <w:rPr>
          <w:rFonts w:hint="eastAsia" w:ascii="宋体" w:hAnsi="宋体" w:eastAsia="宋体" w:cs="宋体"/>
          <w:spacing w:val="-1"/>
          <w:sz w:val="24"/>
          <w:szCs w:val="24"/>
          <w:highlight w:val="none"/>
          <w:lang w:eastAsia="zh-CN"/>
        </w:rPr>
        <w:t>、</w:t>
      </w:r>
      <w:r>
        <w:rPr>
          <w:rFonts w:hint="eastAsia" w:ascii="宋体" w:hAnsi="宋体" w:eastAsia="宋体" w:cs="宋体"/>
          <w:spacing w:val="-2"/>
          <w:sz w:val="24"/>
          <w:szCs w:val="24"/>
          <w:highlight w:val="none"/>
        </w:rPr>
        <w:t>整机内部温度智能调控功能</w:t>
      </w:r>
      <w:r>
        <w:rPr>
          <w:rFonts w:hint="eastAsia" w:ascii="宋体" w:hAnsi="宋体" w:eastAsia="宋体" w:cs="宋体"/>
          <w:spacing w:val="-2"/>
          <w:sz w:val="24"/>
          <w:szCs w:val="24"/>
          <w:highlight w:val="none"/>
          <w:lang w:eastAsia="zh-CN"/>
        </w:rPr>
        <w:t>、</w:t>
      </w:r>
      <w:r>
        <w:rPr>
          <w:rFonts w:hint="eastAsia" w:ascii="宋体" w:hAnsi="宋体" w:eastAsia="宋体" w:cs="宋体"/>
          <w:spacing w:val="-1"/>
          <w:sz w:val="24"/>
          <w:szCs w:val="24"/>
          <w:highlight w:val="none"/>
        </w:rPr>
        <w:t>充电桩需具备智能功率调度功能</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充电桩具备主动防止电池过充的功能</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充电桩应具备电池单体电压不均衡检测</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充电桩能够在充电过程中对充电汽车的动力电池的安全事故进行100%预警</w:t>
      </w:r>
      <w:r>
        <w:rPr>
          <w:rFonts w:hint="eastAsia" w:ascii="宋体" w:hAnsi="宋体" w:eastAsia="宋体" w:cs="宋体"/>
          <w:spacing w:val="-1"/>
          <w:sz w:val="24"/>
          <w:szCs w:val="24"/>
          <w:highlight w:val="none"/>
          <w:lang w:eastAsia="zh-CN"/>
        </w:rPr>
        <w:t>、</w:t>
      </w:r>
      <w:r>
        <w:rPr>
          <w:rFonts w:hint="eastAsia" w:ascii="宋体" w:hAnsi="宋体" w:eastAsia="宋体" w:cs="宋体"/>
          <w:spacing w:val="-2"/>
          <w:sz w:val="24"/>
          <w:szCs w:val="24"/>
          <w:highlight w:val="none"/>
        </w:rPr>
        <w:t>充电桩具备掉电保存功能</w:t>
      </w:r>
      <w:r>
        <w:rPr>
          <w:rFonts w:hint="eastAsia" w:ascii="宋体" w:hAnsi="宋体" w:eastAsia="宋体" w:cs="宋体"/>
          <w:spacing w:val="-2"/>
          <w:sz w:val="24"/>
          <w:szCs w:val="24"/>
          <w:highlight w:val="none"/>
          <w:lang w:eastAsia="zh-CN"/>
        </w:rPr>
        <w:t>、</w:t>
      </w:r>
      <w:r>
        <w:rPr>
          <w:rFonts w:hint="eastAsia" w:ascii="宋体" w:hAnsi="宋体" w:eastAsia="宋体" w:cs="宋体"/>
          <w:spacing w:val="-3"/>
          <w:sz w:val="24"/>
          <w:szCs w:val="24"/>
          <w:highlight w:val="none"/>
        </w:rPr>
        <w:t>在充电过程中，模拟交流输入失电，然后重新上电，检查充电机能保存失电前的充电电能计</w:t>
      </w:r>
      <w:r>
        <w:rPr>
          <w:rFonts w:hint="eastAsia" w:ascii="宋体" w:hAnsi="宋体" w:eastAsia="宋体" w:cs="宋体"/>
          <w:sz w:val="24"/>
          <w:szCs w:val="24"/>
          <w:highlight w:val="none"/>
        </w:rPr>
        <w:t>量、故障异常告警、充电交易记录等信息，并能将数据上传至上级监控系统或运营</w:t>
      </w:r>
      <w:r>
        <w:rPr>
          <w:rFonts w:hint="eastAsia" w:ascii="宋体" w:hAnsi="宋体" w:eastAsia="宋体" w:cs="宋体"/>
          <w:spacing w:val="-1"/>
          <w:sz w:val="24"/>
          <w:szCs w:val="24"/>
          <w:highlight w:val="none"/>
        </w:rPr>
        <w:t>管理系统。</w:t>
      </w:r>
      <w:r>
        <w:rPr>
          <w:rFonts w:hint="eastAsia" w:ascii="宋体" w:hAnsi="宋体" w:eastAsia="宋体" w:cs="宋体"/>
          <w:spacing w:val="-2"/>
          <w:sz w:val="24"/>
          <w:szCs w:val="24"/>
          <w:highlight w:val="none"/>
        </w:rPr>
        <w:t>以上提供由第三方具备CNAS和CMA标志检验机构出具的充电桩检验</w:t>
      </w:r>
      <w:r>
        <w:rPr>
          <w:rFonts w:hint="eastAsia" w:ascii="宋体" w:hAnsi="宋体" w:eastAsia="宋体" w:cs="宋体"/>
          <w:spacing w:val="-3"/>
          <w:sz w:val="24"/>
          <w:szCs w:val="24"/>
          <w:highlight w:val="none"/>
        </w:rPr>
        <w:t>报告佐证。</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highlight w:val="none"/>
        </w:rPr>
        <w:t>★</w:t>
      </w:r>
      <w:r>
        <w:rPr>
          <w:rFonts w:hint="eastAsia" w:ascii="宋体" w:hAnsi="宋体" w:eastAsia="宋体" w:cs="宋体"/>
          <w:b/>
          <w:bCs w:val="0"/>
          <w:spacing w:val="-2"/>
          <w:sz w:val="24"/>
          <w:szCs w:val="24"/>
          <w:highlight w:val="none"/>
          <w:lang w:val="en-US" w:eastAsia="zh-CN"/>
        </w:rPr>
        <w:t>5.</w:t>
      </w:r>
      <w:r>
        <w:rPr>
          <w:rFonts w:hint="eastAsia" w:ascii="宋体" w:hAnsi="宋体" w:eastAsia="宋体" w:cs="宋体"/>
          <w:b/>
          <w:bCs w:val="0"/>
          <w:spacing w:val="-2"/>
          <w:sz w:val="24"/>
          <w:szCs w:val="24"/>
        </w:rPr>
        <w:t>安全可靠性要求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"2.4.5.1" </w:instrText>
      </w:r>
      <w:r>
        <w:rPr>
          <w:rFonts w:hint="eastAsia" w:ascii="宋体" w:hAnsi="宋体" w:eastAsia="宋体" w:cs="宋体"/>
          <w:sz w:val="24"/>
          <w:szCs w:val="24"/>
        </w:rPr>
        <w:fldChar w:fldCharType="separate"/>
      </w:r>
      <w:r>
        <w:rPr>
          <w:rFonts w:hint="eastAsia" w:ascii="宋体" w:hAnsi="宋体" w:eastAsia="宋体" w:cs="宋体"/>
          <w:spacing w:val="-2"/>
          <w:sz w:val="24"/>
          <w:szCs w:val="24"/>
        </w:rPr>
        <w:t>5.1</w:t>
      </w:r>
      <w:r>
        <w:rPr>
          <w:rFonts w:hint="eastAsia" w:ascii="宋体" w:hAnsi="宋体" w:eastAsia="宋体" w:cs="宋体"/>
          <w:spacing w:val="-2"/>
          <w:sz w:val="24"/>
          <w:szCs w:val="24"/>
        </w:rPr>
        <w:fldChar w:fldCharType="end"/>
      </w:r>
      <w:r>
        <w:rPr>
          <w:rFonts w:hint="eastAsia" w:ascii="宋体" w:hAnsi="宋体" w:eastAsia="宋体" w:cs="宋体"/>
          <w:spacing w:val="-2"/>
          <w:sz w:val="24"/>
          <w:szCs w:val="24"/>
        </w:rPr>
        <w:t>安全防护功能</w:t>
      </w:r>
      <w:r>
        <w:rPr>
          <w:rFonts w:hint="eastAsia" w:ascii="宋体" w:hAnsi="宋体" w:eastAsia="宋体" w:cs="宋体"/>
          <w:spacing w:val="-3"/>
          <w:sz w:val="24"/>
          <w:szCs w:val="24"/>
        </w:rPr>
        <w:t>：</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pacing w:val="-2"/>
          <w:sz w:val="24"/>
          <w:szCs w:val="24"/>
        </w:rPr>
      </w:pPr>
      <w:r>
        <w:rPr>
          <w:rFonts w:hint="eastAsia" w:ascii="宋体" w:hAnsi="宋体" w:eastAsia="宋体" w:cs="宋体"/>
          <w:spacing w:val="-1"/>
          <w:sz w:val="24"/>
          <w:szCs w:val="24"/>
        </w:rPr>
        <w:t>（1）充电终端（充电桩）应具备电源输入侧的过压、欠压保护，并有告警</w:t>
      </w:r>
      <w:r>
        <w:rPr>
          <w:rFonts w:hint="eastAsia" w:ascii="宋体" w:hAnsi="宋体" w:eastAsia="宋体" w:cs="宋体"/>
          <w:spacing w:val="-2"/>
          <w:sz w:val="24"/>
          <w:szCs w:val="24"/>
        </w:rPr>
        <w:t>提示。</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（2）充电终端（充电桩）应具备输出过压保护，并有告警提示。</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（3）充电终端（充电桩）应具有过温保护功能，并有告警提示。</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rPr>
        <w:t>（4）充电终端（充电桩）应具备开门保护功能</w:t>
      </w:r>
      <w:r>
        <w:rPr>
          <w:rFonts w:hint="eastAsia" w:ascii="宋体" w:hAnsi="宋体" w:eastAsia="宋体" w:cs="宋体"/>
          <w:spacing w:val="-1"/>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lang w:eastAsia="zh-CN"/>
        </w:rPr>
      </w:pPr>
      <w:r>
        <w:rPr>
          <w:rFonts w:hint="eastAsia" w:ascii="宋体" w:hAnsi="宋体" w:eastAsia="宋体" w:cs="宋体"/>
          <w:spacing w:val="-2"/>
          <w:sz w:val="24"/>
          <w:szCs w:val="24"/>
        </w:rPr>
        <w:t>（5）充电终端（充电桩）具备输入电流过冲保护功能</w:t>
      </w:r>
      <w:r>
        <w:rPr>
          <w:rFonts w:hint="eastAsia" w:ascii="宋体" w:hAnsi="宋体" w:eastAsia="宋体" w:cs="宋体"/>
          <w:spacing w:val="-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（6）充电终端（充电桩）具备蓄电池反接功能，并有告警提示。</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（7）充电终端（充电桩）具备接触器粘连保护功能，并有</w:t>
      </w:r>
      <w:r>
        <w:rPr>
          <w:rFonts w:hint="eastAsia" w:ascii="宋体" w:hAnsi="宋体" w:eastAsia="宋体" w:cs="宋体"/>
          <w:spacing w:val="-2"/>
          <w:sz w:val="24"/>
          <w:szCs w:val="24"/>
        </w:rPr>
        <w:t>告警提示。</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2"/>
          <w:sz w:val="24"/>
          <w:szCs w:val="24"/>
          <w:lang w:eastAsia="zh-CN"/>
        </w:rPr>
      </w:pPr>
      <w:r>
        <w:rPr>
          <w:rFonts w:hint="eastAsia" w:ascii="宋体" w:hAnsi="宋体" w:eastAsia="宋体" w:cs="宋体"/>
          <w:spacing w:val="-2"/>
          <w:sz w:val="24"/>
          <w:szCs w:val="24"/>
        </w:rPr>
        <w:t>（8）充电终端（充电桩）应具备防逆流功能和短路保护</w:t>
      </w:r>
      <w:r>
        <w:rPr>
          <w:rFonts w:hint="eastAsia" w:ascii="宋体" w:hAnsi="宋体" w:eastAsia="宋体" w:cs="宋体"/>
          <w:spacing w:val="-2"/>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9</w:t>
      </w:r>
      <w:r>
        <w:rPr>
          <w:rFonts w:hint="eastAsia" w:ascii="宋体" w:hAnsi="宋体" w:eastAsia="宋体" w:cs="宋体"/>
          <w:spacing w:val="-2"/>
          <w:sz w:val="24"/>
          <w:szCs w:val="24"/>
        </w:rPr>
        <w:t>）</w:t>
      </w:r>
      <w:r>
        <w:rPr>
          <w:rFonts w:hint="eastAsia" w:ascii="宋体" w:hAnsi="宋体" w:eastAsia="宋体" w:cs="宋体"/>
          <w:spacing w:val="-5"/>
          <w:sz w:val="24"/>
          <w:szCs w:val="24"/>
        </w:rPr>
        <w:t>充电终端（充电桩） 在启动充电时应人工确认启动。</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5"/>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10</w:t>
      </w:r>
      <w:r>
        <w:rPr>
          <w:rFonts w:hint="eastAsia" w:ascii="宋体" w:hAnsi="宋体" w:eastAsia="宋体" w:cs="宋体"/>
          <w:spacing w:val="-2"/>
          <w:sz w:val="24"/>
          <w:szCs w:val="24"/>
        </w:rPr>
        <w:t>）</w:t>
      </w:r>
      <w:r>
        <w:rPr>
          <w:rFonts w:hint="eastAsia" w:ascii="宋体" w:hAnsi="宋体" w:eastAsia="宋体" w:cs="宋体"/>
          <w:spacing w:val="-5"/>
          <w:sz w:val="24"/>
          <w:szCs w:val="24"/>
        </w:rPr>
        <w:t>充电终端（充电桩） 应能检测到充电枪是否插到位。</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lang w:val="en-US" w:eastAsia="zh-CN"/>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11</w:t>
      </w:r>
      <w:r>
        <w:rPr>
          <w:rFonts w:hint="eastAsia" w:ascii="宋体" w:hAnsi="宋体" w:eastAsia="宋体" w:cs="宋体"/>
          <w:spacing w:val="-2"/>
          <w:sz w:val="24"/>
          <w:szCs w:val="24"/>
        </w:rPr>
        <w:t>）</w:t>
      </w:r>
      <w:r>
        <w:rPr>
          <w:rFonts w:hint="eastAsia" w:ascii="宋体" w:hAnsi="宋体" w:eastAsia="宋体" w:cs="宋体"/>
          <w:spacing w:val="-4"/>
          <w:sz w:val="24"/>
          <w:szCs w:val="24"/>
        </w:rPr>
        <w:t>在充电状态下强行拔除插头， 充电开关应即时动作，切断对插座的供电</w:t>
      </w:r>
      <w:r>
        <w:rPr>
          <w:rFonts w:hint="eastAsia" w:ascii="宋体" w:hAnsi="宋体" w:eastAsia="宋体" w:cs="宋体"/>
          <w:spacing w:val="-4"/>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5"/>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12</w:t>
      </w:r>
      <w:r>
        <w:rPr>
          <w:rFonts w:hint="eastAsia" w:ascii="宋体" w:hAnsi="宋体" w:eastAsia="宋体" w:cs="宋体"/>
          <w:spacing w:val="-2"/>
          <w:sz w:val="24"/>
          <w:szCs w:val="24"/>
        </w:rPr>
        <w:t>）</w:t>
      </w:r>
      <w:r>
        <w:rPr>
          <w:rFonts w:hint="eastAsia" w:ascii="宋体" w:hAnsi="宋体" w:eastAsia="宋体" w:cs="宋体"/>
          <w:spacing w:val="1"/>
          <w:sz w:val="24"/>
          <w:szCs w:val="24"/>
        </w:rPr>
        <w:t>充电终端（充电桩）应具备限制冲击电流功能，冲击电流不应超过额定输入电流的</w:t>
      </w:r>
      <w:r>
        <w:rPr>
          <w:rFonts w:hint="eastAsia" w:ascii="宋体" w:hAnsi="宋体" w:eastAsia="宋体" w:cs="宋体"/>
          <w:spacing w:val="-5"/>
          <w:sz w:val="24"/>
          <w:szCs w:val="24"/>
        </w:rPr>
        <w:t>110%。</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13</w:t>
      </w:r>
      <w:r>
        <w:rPr>
          <w:rFonts w:hint="eastAsia" w:ascii="宋体" w:hAnsi="宋体" w:eastAsia="宋体" w:cs="宋体"/>
          <w:spacing w:val="-2"/>
          <w:sz w:val="24"/>
          <w:szCs w:val="24"/>
        </w:rPr>
        <w:t>）充电终端（充电桩）输出接触器接通时发生的车辆到充</w:t>
      </w:r>
      <w:r>
        <w:rPr>
          <w:rFonts w:hint="eastAsia" w:ascii="宋体" w:hAnsi="宋体" w:eastAsia="宋体" w:cs="宋体"/>
          <w:spacing w:val="-3"/>
          <w:sz w:val="24"/>
          <w:szCs w:val="24"/>
        </w:rPr>
        <w:t>电设备、或者充电设备到车辆</w:t>
      </w:r>
      <w:r>
        <w:rPr>
          <w:rFonts w:hint="eastAsia" w:ascii="宋体" w:hAnsi="宋体" w:eastAsia="宋体" w:cs="宋体"/>
          <w:spacing w:val="-9"/>
          <w:sz w:val="24"/>
          <w:szCs w:val="24"/>
        </w:rPr>
        <w:t>的冲击电流（峰值） 应控制在20A 以下。</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14</w:t>
      </w:r>
      <w:r>
        <w:rPr>
          <w:rFonts w:hint="eastAsia" w:ascii="宋体" w:hAnsi="宋体" w:eastAsia="宋体" w:cs="宋体"/>
          <w:spacing w:val="-2"/>
          <w:sz w:val="24"/>
          <w:szCs w:val="24"/>
        </w:rPr>
        <w:t>）</w:t>
      </w:r>
      <w:r>
        <w:rPr>
          <w:rFonts w:hint="eastAsia" w:ascii="宋体" w:hAnsi="宋体" w:eastAsia="宋体" w:cs="宋体"/>
          <w:spacing w:val="1"/>
          <w:sz w:val="24"/>
          <w:szCs w:val="24"/>
        </w:rPr>
        <w:t>充电终端（充电桩）输出应具备缓慢或阶梯上升的缓启动功能，直流输出上升时间</w:t>
      </w:r>
      <w:r>
        <w:rPr>
          <w:rFonts w:hint="eastAsia" w:ascii="宋体" w:hAnsi="宋体" w:eastAsia="宋体" w:cs="宋体"/>
          <w:spacing w:val="-3"/>
          <w:sz w:val="24"/>
          <w:szCs w:val="24"/>
        </w:rPr>
        <w:t>为3s～8s。</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15</w:t>
      </w:r>
      <w:r>
        <w:rPr>
          <w:rFonts w:hint="eastAsia" w:ascii="宋体" w:hAnsi="宋体" w:eastAsia="宋体" w:cs="宋体"/>
          <w:spacing w:val="-2"/>
          <w:sz w:val="24"/>
          <w:szCs w:val="24"/>
        </w:rPr>
        <w:t>）</w:t>
      </w:r>
      <w:r>
        <w:rPr>
          <w:rFonts w:hint="eastAsia" w:ascii="宋体" w:hAnsi="宋体" w:eastAsia="宋体" w:cs="宋体"/>
          <w:spacing w:val="-5"/>
          <w:sz w:val="24"/>
          <w:szCs w:val="24"/>
        </w:rPr>
        <w:t>充电过程中，充电终端（充电桩）应保证蓄电池的充电电压和充电电流不超过允</w:t>
      </w:r>
      <w:r>
        <w:rPr>
          <w:rFonts w:hint="eastAsia" w:ascii="宋体" w:hAnsi="宋体" w:eastAsia="宋体" w:cs="宋体"/>
          <w:spacing w:val="-6"/>
          <w:sz w:val="24"/>
          <w:szCs w:val="24"/>
        </w:rPr>
        <w:t>许值。</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16</w:t>
      </w:r>
      <w:r>
        <w:rPr>
          <w:rFonts w:hint="eastAsia" w:ascii="宋体" w:hAnsi="宋体" w:eastAsia="宋体" w:cs="宋体"/>
          <w:spacing w:val="-2"/>
          <w:sz w:val="24"/>
          <w:szCs w:val="24"/>
          <w:lang w:eastAsia="zh-CN"/>
        </w:rPr>
        <w:t>）</w:t>
      </w:r>
      <w:r>
        <w:rPr>
          <w:rFonts w:hint="eastAsia" w:ascii="宋体" w:hAnsi="宋体" w:eastAsia="宋体" w:cs="宋体"/>
          <w:spacing w:val="-5"/>
          <w:sz w:val="24"/>
          <w:szCs w:val="24"/>
        </w:rPr>
        <w:t>充电终端（充电桩） 应具备蓄电池反接保护功能。</w:t>
      </w:r>
    </w:p>
    <w:p>
      <w:pPr>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17</w:t>
      </w:r>
      <w:r>
        <w:rPr>
          <w:rFonts w:hint="eastAsia" w:ascii="宋体" w:hAnsi="宋体" w:eastAsia="宋体" w:cs="宋体"/>
          <w:spacing w:val="-2"/>
          <w:sz w:val="24"/>
          <w:szCs w:val="24"/>
          <w:lang w:eastAsia="zh-CN"/>
        </w:rPr>
        <w:t>）</w:t>
      </w:r>
      <w:r>
        <w:rPr>
          <w:rFonts w:hint="eastAsia" w:ascii="宋体" w:hAnsi="宋体" w:eastAsia="宋体" w:cs="宋体"/>
          <w:spacing w:val="-3"/>
          <w:sz w:val="24"/>
          <w:szCs w:val="24"/>
        </w:rPr>
        <w:t>充电终端（充电桩） 在自动充电前，应具备</w:t>
      </w:r>
      <w:r>
        <w:rPr>
          <w:rFonts w:hint="eastAsia" w:ascii="宋体" w:hAnsi="宋体" w:eastAsia="宋体" w:cs="宋体"/>
          <w:spacing w:val="-4"/>
          <w:sz w:val="24"/>
          <w:szCs w:val="24"/>
        </w:rPr>
        <w:t>蓄电池电压检测功能。</w:t>
      </w:r>
    </w:p>
    <w:p>
      <w:pPr>
        <w:pageBreakBefore w:val="0"/>
        <w:widowControl w:val="0"/>
        <w:kinsoku/>
        <w:wordWrap/>
        <w:overflowPunct/>
        <w:topLinePunct w:val="0"/>
        <w:autoSpaceDE/>
        <w:autoSpaceDN/>
        <w:bidi w:val="0"/>
        <w:adjustRightInd/>
        <w:snapToGrid/>
        <w:spacing w:line="360"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lang w:eastAsia="zh-CN"/>
        </w:rPr>
        <w:t>（</w:t>
      </w:r>
      <w:r>
        <w:rPr>
          <w:rFonts w:hint="eastAsia" w:ascii="宋体" w:hAnsi="宋体" w:eastAsia="宋体" w:cs="宋体"/>
          <w:spacing w:val="-4"/>
          <w:sz w:val="24"/>
          <w:szCs w:val="24"/>
          <w:lang w:val="en-US" w:eastAsia="zh-CN"/>
        </w:rPr>
        <w:t>18</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充电过程中，充电终端（充电</w:t>
      </w:r>
      <w:r>
        <w:rPr>
          <w:rFonts w:hint="eastAsia" w:ascii="宋体" w:hAnsi="宋体" w:eastAsia="宋体" w:cs="宋体"/>
          <w:spacing w:val="-5"/>
          <w:sz w:val="24"/>
          <w:szCs w:val="24"/>
        </w:rPr>
        <w:t>桩）应具有明显的状态指示和文字提示， 防止人员误操</w:t>
      </w:r>
      <w:r>
        <w:rPr>
          <w:rFonts w:hint="eastAsia" w:ascii="宋体" w:hAnsi="宋体" w:eastAsia="宋体" w:cs="宋体"/>
          <w:spacing w:val="-10"/>
          <w:sz w:val="24"/>
          <w:szCs w:val="24"/>
        </w:rPr>
        <w:t>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"2.4.5.2" </w:instrText>
      </w:r>
      <w:r>
        <w:rPr>
          <w:rFonts w:hint="eastAsia" w:ascii="宋体" w:hAnsi="宋体" w:eastAsia="宋体" w:cs="宋体"/>
          <w:sz w:val="24"/>
          <w:szCs w:val="24"/>
          <w:highlight w:val="none"/>
        </w:rPr>
        <w:fldChar w:fldCharType="separate"/>
      </w:r>
      <w:r>
        <w:rPr>
          <w:rFonts w:hint="eastAsia" w:ascii="宋体" w:hAnsi="宋体" w:eastAsia="宋体" w:cs="宋体"/>
          <w:spacing w:val="-8"/>
          <w:sz w:val="24"/>
          <w:szCs w:val="24"/>
          <w:highlight w:val="none"/>
        </w:rPr>
        <w:t>5.2</w:t>
      </w:r>
      <w:r>
        <w:rPr>
          <w:rFonts w:hint="eastAsia" w:ascii="宋体" w:hAnsi="宋体" w:eastAsia="宋体" w:cs="宋体"/>
          <w:spacing w:val="-8"/>
          <w:sz w:val="24"/>
          <w:szCs w:val="24"/>
          <w:highlight w:val="none"/>
        </w:rPr>
        <w:fldChar w:fldCharType="end"/>
      </w:r>
      <w:r>
        <w:rPr>
          <w:rFonts w:hint="eastAsia" w:ascii="宋体" w:hAnsi="宋体" w:eastAsia="宋体" w:cs="宋体"/>
          <w:spacing w:val="-8"/>
          <w:sz w:val="24"/>
          <w:szCs w:val="24"/>
          <w:highlight w:val="none"/>
        </w:rPr>
        <w:t>当电网（电源）未提供短路保护时，充电终端（充电桩）短路保护要求应符合IEC61851</w:t>
      </w:r>
      <w:r>
        <w:rPr>
          <w:rFonts w:hint="eastAsia" w:ascii="宋体" w:hAnsi="宋体" w:eastAsia="宋体" w:cs="宋体"/>
          <w:spacing w:val="-1"/>
          <w:sz w:val="24"/>
          <w:szCs w:val="24"/>
          <w:highlight w:val="none"/>
        </w:rPr>
        <w:t>—23。</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充电终端（充电桩）应具备内部过温</w:t>
      </w:r>
      <w:r>
        <w:rPr>
          <w:rFonts w:hint="eastAsia" w:ascii="宋体" w:hAnsi="宋体" w:eastAsia="宋体" w:cs="宋体"/>
          <w:spacing w:val="-1"/>
          <w:sz w:val="24"/>
          <w:szCs w:val="24"/>
          <w:highlight w:val="none"/>
        </w:rPr>
        <w:t>保护，当内部温度达到保护值时，采取降功率或停</w:t>
      </w:r>
      <w:r>
        <w:rPr>
          <w:rFonts w:hint="eastAsia" w:ascii="宋体" w:hAnsi="宋体" w:eastAsia="宋体" w:cs="宋体"/>
          <w:spacing w:val="-7"/>
          <w:sz w:val="24"/>
          <w:szCs w:val="24"/>
          <w:highlight w:val="none"/>
        </w:rPr>
        <w:t>止输出。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"2.4.5.4" </w:instrText>
      </w:r>
      <w:r>
        <w:rPr>
          <w:rFonts w:hint="eastAsia" w:ascii="宋体" w:hAnsi="宋体" w:eastAsia="宋体" w:cs="宋体"/>
          <w:sz w:val="24"/>
          <w:szCs w:val="24"/>
          <w:highlight w:val="none"/>
        </w:rPr>
        <w:fldChar w:fldCharType="separate"/>
      </w:r>
      <w:r>
        <w:rPr>
          <w:rFonts w:hint="eastAsia" w:ascii="宋体" w:hAnsi="宋体" w:eastAsia="宋体" w:cs="宋体"/>
          <w:spacing w:val="-1"/>
          <w:sz w:val="24"/>
          <w:szCs w:val="24"/>
          <w:highlight w:val="none"/>
        </w:rPr>
        <w:t>5.4</w:t>
      </w:r>
      <w:r>
        <w:rPr>
          <w:rFonts w:hint="eastAsia" w:ascii="宋体" w:hAnsi="宋体" w:eastAsia="宋体" w:cs="宋体"/>
          <w:spacing w:val="-1"/>
          <w:sz w:val="24"/>
          <w:szCs w:val="24"/>
          <w:highlight w:val="none"/>
        </w:rPr>
        <w:fldChar w:fldCharType="end"/>
      </w:r>
      <w:r>
        <w:rPr>
          <w:rFonts w:hint="eastAsia" w:ascii="宋体" w:hAnsi="宋体" w:eastAsia="宋体" w:cs="宋体"/>
          <w:spacing w:val="-1"/>
          <w:sz w:val="24"/>
          <w:szCs w:val="24"/>
          <w:highlight w:val="none"/>
        </w:rPr>
        <w:t>超温断电要求</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要求充电终端带有超温断电功能，提升设施防护安全性。</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w:t>
      </w:r>
      <w:r>
        <w:rPr>
          <w:rFonts w:hint="eastAsia" w:ascii="宋体" w:hAnsi="宋体" w:eastAsia="宋体" w:cs="宋体"/>
          <w:spacing w:val="-2"/>
          <w:sz w:val="24"/>
          <w:szCs w:val="24"/>
          <w:highlight w:val="none"/>
        </w:rPr>
        <w:t>当确认充电枪头温度达到90℃两分钟后，充电设</w:t>
      </w:r>
      <w:r>
        <w:rPr>
          <w:rFonts w:hint="eastAsia" w:ascii="宋体" w:hAnsi="宋体" w:eastAsia="宋体" w:cs="宋体"/>
          <w:spacing w:val="-3"/>
          <w:sz w:val="24"/>
          <w:szCs w:val="24"/>
          <w:highlight w:val="none"/>
        </w:rPr>
        <w:t>备限制输出电流为当前直流电表检测值的</w:t>
      </w:r>
      <w:r>
        <w:rPr>
          <w:rFonts w:hint="eastAsia" w:ascii="宋体" w:hAnsi="宋体" w:eastAsia="宋体" w:cs="宋体"/>
          <w:spacing w:val="-2"/>
          <w:sz w:val="24"/>
          <w:szCs w:val="24"/>
          <w:highlight w:val="none"/>
        </w:rPr>
        <w:t>90%；</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2</w:t>
      </w:r>
      <w:r>
        <w:rPr>
          <w:rFonts w:hint="eastAsia" w:ascii="宋体" w:hAnsi="宋体" w:eastAsia="宋体" w:cs="宋体"/>
          <w:spacing w:val="-1"/>
          <w:sz w:val="24"/>
          <w:szCs w:val="24"/>
          <w:highlight w:val="none"/>
        </w:rPr>
        <w:t>）</w:t>
      </w:r>
      <w:r>
        <w:rPr>
          <w:rFonts w:hint="eastAsia" w:ascii="宋体" w:hAnsi="宋体" w:eastAsia="宋体" w:cs="宋体"/>
          <w:spacing w:val="-2"/>
          <w:sz w:val="24"/>
          <w:szCs w:val="24"/>
          <w:highlight w:val="none"/>
        </w:rPr>
        <w:t>当确认充电枪头温度达到95℃两分钟后，充电设备限制</w:t>
      </w:r>
      <w:r>
        <w:rPr>
          <w:rFonts w:hint="eastAsia" w:ascii="宋体" w:hAnsi="宋体" w:eastAsia="宋体" w:cs="宋体"/>
          <w:spacing w:val="-3"/>
          <w:sz w:val="24"/>
          <w:szCs w:val="24"/>
          <w:highlight w:val="none"/>
        </w:rPr>
        <w:t>输出电流为当前直流电表检测值的</w:t>
      </w:r>
      <w:r>
        <w:rPr>
          <w:rFonts w:hint="eastAsia" w:ascii="宋体" w:hAnsi="宋体" w:eastAsia="宋体" w:cs="宋体"/>
          <w:spacing w:val="-2"/>
          <w:sz w:val="24"/>
          <w:szCs w:val="24"/>
          <w:highlight w:val="none"/>
        </w:rPr>
        <w:t>80%；</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）当确认充电枪头温度达到 100℃两分钟后，充电机限制输出电流为当前直流电表检测值的</w:t>
      </w:r>
      <w:r>
        <w:rPr>
          <w:rFonts w:hint="eastAsia" w:ascii="宋体" w:hAnsi="宋体" w:eastAsia="宋体" w:cs="宋体"/>
          <w:spacing w:val="-3"/>
          <w:sz w:val="24"/>
          <w:szCs w:val="24"/>
          <w:highlight w:val="none"/>
        </w:rPr>
        <w:t>70%；</w:t>
      </w:r>
    </w:p>
    <w:p>
      <w:pPr>
        <w:pageBreakBefore w:val="0"/>
        <w:widowControl w:val="0"/>
        <w:kinsoku/>
        <w:wordWrap/>
        <w:overflowPunct/>
        <w:topLinePunct w:val="0"/>
        <w:autoSpaceDE/>
        <w:autoSpaceDN/>
        <w:bidi w:val="0"/>
        <w:adjustRightInd/>
        <w:snapToGrid/>
        <w:spacing w:line="360" w:lineRule="auto"/>
        <w:ind w:firstLine="476" w:firstLineChars="200"/>
        <w:textAlignment w:val="auto"/>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4</w:t>
      </w:r>
      <w:r>
        <w:rPr>
          <w:rFonts w:hint="eastAsia" w:ascii="宋体" w:hAnsi="宋体" w:eastAsia="宋体" w:cs="宋体"/>
          <w:spacing w:val="-1"/>
          <w:sz w:val="24"/>
          <w:szCs w:val="24"/>
          <w:highlight w:val="none"/>
        </w:rPr>
        <w:t>）当确认充电枪头温度达到110℃两秒钟后，充电设备应能发出过温故障报警信号。</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"2.4.5.5" </w:instrText>
      </w:r>
      <w:r>
        <w:rPr>
          <w:rFonts w:hint="eastAsia" w:ascii="宋体" w:hAnsi="宋体" w:eastAsia="宋体" w:cs="宋体"/>
          <w:sz w:val="24"/>
          <w:szCs w:val="24"/>
          <w:highlight w:val="none"/>
        </w:rPr>
        <w:fldChar w:fldCharType="separate"/>
      </w:r>
      <w:r>
        <w:rPr>
          <w:rFonts w:hint="eastAsia" w:ascii="宋体" w:hAnsi="宋体" w:eastAsia="宋体" w:cs="宋体"/>
          <w:spacing w:val="-1"/>
          <w:sz w:val="24"/>
          <w:szCs w:val="24"/>
          <w:highlight w:val="none"/>
        </w:rPr>
        <w:t>5.5</w:t>
      </w:r>
      <w:r>
        <w:rPr>
          <w:rFonts w:hint="eastAsia" w:ascii="宋体" w:hAnsi="宋体" w:eastAsia="宋体" w:cs="宋体"/>
          <w:spacing w:val="-1"/>
          <w:sz w:val="24"/>
          <w:szCs w:val="24"/>
          <w:highlight w:val="none"/>
        </w:rPr>
        <w:fldChar w:fldCharType="end"/>
      </w:r>
      <w:r>
        <w:rPr>
          <w:rFonts w:hint="eastAsia" w:ascii="宋体" w:hAnsi="宋体" w:eastAsia="宋体" w:cs="宋体"/>
          <w:spacing w:val="-1"/>
          <w:sz w:val="24"/>
          <w:szCs w:val="24"/>
          <w:highlight w:val="none"/>
        </w:rPr>
        <w:t>充电终端（充电桩）应具有绝缘检测功能，绝缘检测功能应符合 GB/</w:t>
      </w:r>
      <w:r>
        <w:rPr>
          <w:rFonts w:hint="eastAsia" w:ascii="宋体" w:hAnsi="宋体" w:eastAsia="宋体" w:cs="宋体"/>
          <w:spacing w:val="-2"/>
          <w:sz w:val="24"/>
          <w:szCs w:val="24"/>
          <w:highlight w:val="none"/>
        </w:rPr>
        <w:t>T 18487.1—2015</w:t>
      </w:r>
      <w:r>
        <w:rPr>
          <w:rFonts w:hint="eastAsia" w:ascii="宋体" w:hAnsi="宋体" w:eastAsia="宋体" w:cs="宋体"/>
          <w:spacing w:val="-8"/>
          <w:sz w:val="24"/>
          <w:szCs w:val="24"/>
          <w:highlight w:val="none"/>
        </w:rPr>
        <w:t>附录B的相关要求。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"2.4.5.6" </w:instrText>
      </w:r>
      <w:r>
        <w:rPr>
          <w:rFonts w:hint="eastAsia" w:ascii="宋体" w:hAnsi="宋体" w:eastAsia="宋体" w:cs="宋体"/>
          <w:sz w:val="24"/>
          <w:szCs w:val="24"/>
          <w:highlight w:val="none"/>
        </w:rPr>
        <w:fldChar w:fldCharType="separate"/>
      </w:r>
      <w:r>
        <w:rPr>
          <w:rFonts w:hint="eastAsia" w:ascii="宋体" w:hAnsi="宋体" w:eastAsia="宋体" w:cs="宋体"/>
          <w:spacing w:val="-8"/>
          <w:sz w:val="24"/>
          <w:szCs w:val="24"/>
          <w:highlight w:val="none"/>
        </w:rPr>
        <w:t>5.6</w:t>
      </w:r>
      <w:r>
        <w:rPr>
          <w:rFonts w:hint="eastAsia" w:ascii="宋体" w:hAnsi="宋体" w:eastAsia="宋体" w:cs="宋体"/>
          <w:spacing w:val="-8"/>
          <w:sz w:val="24"/>
          <w:szCs w:val="24"/>
          <w:highlight w:val="none"/>
        </w:rPr>
        <w:fldChar w:fldCharType="end"/>
      </w:r>
      <w:r>
        <w:rPr>
          <w:rFonts w:hint="eastAsia" w:ascii="宋体" w:hAnsi="宋体" w:eastAsia="宋体" w:cs="宋体"/>
          <w:spacing w:val="-8"/>
          <w:sz w:val="24"/>
          <w:szCs w:val="24"/>
          <w:highlight w:val="none"/>
        </w:rPr>
        <w:t>充电过程中当发生下列情况时，充电终端（充电桩）应在50ms内</w:t>
      </w:r>
      <w:r>
        <w:rPr>
          <w:rFonts w:hint="eastAsia" w:ascii="宋体" w:hAnsi="宋体" w:eastAsia="宋体" w:cs="宋体"/>
          <w:spacing w:val="-9"/>
          <w:sz w:val="24"/>
          <w:szCs w:val="24"/>
          <w:highlight w:val="none"/>
        </w:rPr>
        <w:t>将电流值降至5A或100ms</w:t>
      </w:r>
      <w:r>
        <w:rPr>
          <w:rFonts w:hint="eastAsia" w:ascii="宋体" w:hAnsi="宋体" w:eastAsia="宋体" w:cs="宋体"/>
          <w:spacing w:val="-3"/>
          <w:sz w:val="24"/>
          <w:szCs w:val="24"/>
          <w:highlight w:val="none"/>
        </w:rPr>
        <w:t>内断开直流输出接触器，且输出接口电压应在1s</w:t>
      </w:r>
      <w:r>
        <w:rPr>
          <w:rFonts w:hint="eastAsia" w:ascii="宋体" w:hAnsi="宋体" w:eastAsia="宋体" w:cs="宋体"/>
          <w:spacing w:val="-4"/>
          <w:sz w:val="24"/>
          <w:szCs w:val="24"/>
          <w:highlight w:val="none"/>
        </w:rPr>
        <w:t>内下降至 60V DC以下：</w:t>
      </w:r>
      <w:r>
        <w:rPr>
          <w:rFonts w:hint="eastAsia" w:ascii="宋体" w:hAnsi="宋体" w:eastAsia="宋体" w:cs="宋体"/>
          <w:spacing w:val="-5"/>
          <w:sz w:val="24"/>
          <w:szCs w:val="24"/>
          <w:highlight w:val="none"/>
        </w:rPr>
        <w:t>启动急停开关；</w:t>
      </w:r>
      <w:r>
        <w:rPr>
          <w:rFonts w:hint="eastAsia" w:ascii="宋体" w:hAnsi="宋体" w:eastAsia="宋体" w:cs="宋体"/>
          <w:spacing w:val="-1"/>
          <w:sz w:val="24"/>
          <w:szCs w:val="24"/>
          <w:highlight w:val="none"/>
        </w:rPr>
        <w:t>与蓄电池管理系统通信故障；</w:t>
      </w:r>
      <w:r>
        <w:rPr>
          <w:rFonts w:hint="eastAsia" w:ascii="宋体" w:hAnsi="宋体" w:eastAsia="宋体" w:cs="宋体"/>
          <w:spacing w:val="-3"/>
          <w:sz w:val="24"/>
          <w:szCs w:val="24"/>
          <w:highlight w:val="none"/>
        </w:rPr>
        <w:t>蓄电池的温度、电压超过允许限值；</w:t>
      </w:r>
      <w:r>
        <w:rPr>
          <w:rFonts w:hint="eastAsia" w:ascii="宋体" w:hAnsi="宋体" w:eastAsia="宋体" w:cs="宋体"/>
          <w:spacing w:val="-1"/>
          <w:sz w:val="24"/>
          <w:szCs w:val="24"/>
          <w:highlight w:val="none"/>
        </w:rPr>
        <w:t>充电终端（充电桩）自动停止充电</w:t>
      </w:r>
      <w:r>
        <w:rPr>
          <w:rFonts w:hint="eastAsia" w:ascii="宋体" w:hAnsi="宋体" w:eastAsia="宋体" w:cs="宋体"/>
          <w:spacing w:val="-1"/>
          <w:sz w:val="24"/>
          <w:szCs w:val="24"/>
          <w:highlight w:val="none"/>
          <w:lang w:eastAsia="zh-CN"/>
        </w:rPr>
        <w:t>；</w:t>
      </w:r>
      <w:r>
        <w:rPr>
          <w:rFonts w:hint="eastAsia" w:ascii="宋体" w:hAnsi="宋体" w:eastAsia="宋体" w:cs="宋体"/>
          <w:spacing w:val="-3"/>
          <w:sz w:val="24"/>
          <w:szCs w:val="24"/>
          <w:highlight w:val="none"/>
        </w:rPr>
        <w:t>控制导引故障。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"2.4.5.17" </w:instrText>
      </w:r>
      <w:r>
        <w:rPr>
          <w:rFonts w:hint="eastAsia" w:ascii="宋体" w:hAnsi="宋体" w:eastAsia="宋体" w:cs="宋体"/>
          <w:sz w:val="24"/>
          <w:szCs w:val="24"/>
          <w:highlight w:val="none"/>
        </w:rPr>
        <w:fldChar w:fldCharType="separate"/>
      </w:r>
      <w:r>
        <w:rPr>
          <w:rFonts w:hint="eastAsia" w:ascii="宋体" w:hAnsi="宋体" w:eastAsia="宋体" w:cs="宋体"/>
          <w:spacing w:val="-2"/>
          <w:sz w:val="24"/>
          <w:szCs w:val="24"/>
          <w:highlight w:val="none"/>
        </w:rPr>
        <w:t>5.7</w:t>
      </w:r>
      <w:r>
        <w:rPr>
          <w:rFonts w:hint="eastAsia" w:ascii="宋体" w:hAnsi="宋体" w:eastAsia="宋体" w:cs="宋体"/>
          <w:spacing w:val="-2"/>
          <w:sz w:val="24"/>
          <w:szCs w:val="24"/>
          <w:highlight w:val="none"/>
        </w:rPr>
        <w:fldChar w:fldCharType="end"/>
      </w:r>
      <w:r>
        <w:rPr>
          <w:rFonts w:hint="eastAsia" w:ascii="宋体" w:hAnsi="宋体" w:eastAsia="宋体" w:cs="宋体"/>
          <w:spacing w:val="-2"/>
          <w:sz w:val="24"/>
          <w:szCs w:val="24"/>
          <w:highlight w:val="none"/>
        </w:rPr>
        <w:t xml:space="preserve"> 直流充电时，车辆接口应具有锁止</w:t>
      </w:r>
      <w:r>
        <w:rPr>
          <w:rFonts w:hint="eastAsia" w:ascii="宋体" w:hAnsi="宋体" w:eastAsia="宋体" w:cs="宋体"/>
          <w:spacing w:val="-3"/>
          <w:sz w:val="24"/>
          <w:szCs w:val="24"/>
          <w:highlight w:val="none"/>
        </w:rPr>
        <w:t>功能，该锁止功能应符合GB/T20234.1的相关要求。车辆插头端应安装机械锁止装置，充电终端（充电桩）</w:t>
      </w:r>
      <w:r>
        <w:rPr>
          <w:rFonts w:hint="eastAsia" w:ascii="宋体" w:hAnsi="宋体" w:eastAsia="宋体" w:cs="宋体"/>
          <w:spacing w:val="-4"/>
          <w:sz w:val="24"/>
          <w:szCs w:val="24"/>
          <w:highlight w:val="none"/>
        </w:rPr>
        <w:t xml:space="preserve"> 应能判断机械锁是否可靠锁止。车</w:t>
      </w:r>
      <w:r>
        <w:rPr>
          <w:rFonts w:hint="eastAsia" w:ascii="宋体" w:hAnsi="宋体" w:eastAsia="宋体" w:cs="宋体"/>
          <w:spacing w:val="-6"/>
          <w:sz w:val="24"/>
          <w:szCs w:val="24"/>
          <w:highlight w:val="none"/>
        </w:rPr>
        <w:t>辆插头应安装电子锁止装置， 电子锁处于锁止位置时，机械锁应无法操作，充电终端（充</w:t>
      </w:r>
      <w:r>
        <w:rPr>
          <w:rFonts w:hint="eastAsia" w:ascii="宋体" w:hAnsi="宋体" w:eastAsia="宋体" w:cs="宋体"/>
          <w:spacing w:val="-7"/>
          <w:sz w:val="24"/>
          <w:szCs w:val="24"/>
          <w:highlight w:val="none"/>
        </w:rPr>
        <w:t>电桩）应能判断电子锁是否可靠锁止。当机械锁或电子锁未可靠锁止时，充电终端（充电桩）应停止</w:t>
      </w:r>
      <w:r>
        <w:rPr>
          <w:rFonts w:hint="eastAsia" w:ascii="宋体" w:hAnsi="宋体" w:eastAsia="宋体" w:cs="宋体"/>
          <w:spacing w:val="-1"/>
          <w:sz w:val="24"/>
          <w:szCs w:val="24"/>
          <w:highlight w:val="none"/>
        </w:rPr>
        <w:t>充电或不启动充电。直流充电车辆接口锁止装置工作示例见GB/T 18487.1-2015附录C。电子</w:t>
      </w:r>
      <w:r>
        <w:rPr>
          <w:rFonts w:hint="eastAsia" w:ascii="宋体" w:hAnsi="宋体" w:eastAsia="宋体" w:cs="宋体"/>
          <w:sz w:val="24"/>
          <w:szCs w:val="24"/>
          <w:highlight w:val="none"/>
        </w:rPr>
        <w:t>锁止装置应具备应急解锁功能，不应带电解锁且不应由人手直接操</w:t>
      </w:r>
      <w:r>
        <w:rPr>
          <w:rFonts w:hint="eastAsia" w:ascii="宋体" w:hAnsi="宋体" w:eastAsia="宋体" w:cs="宋体"/>
          <w:spacing w:val="-1"/>
          <w:sz w:val="24"/>
          <w:szCs w:val="24"/>
          <w:highlight w:val="none"/>
        </w:rPr>
        <w:t>作解锁。</w:t>
      </w:r>
    </w:p>
    <w:p>
      <w:pPr>
        <w:pStyle w:val="119"/>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 HYPERLINK "2.4.5.18"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pacing w:val="-2"/>
          <w:sz w:val="24"/>
          <w:szCs w:val="24"/>
          <w:highlight w:val="none"/>
        </w:rPr>
        <w:t>5</w:t>
      </w:r>
      <w:r>
        <w:rPr>
          <w:rFonts w:hint="eastAsia" w:ascii="宋体" w:hAnsi="宋体" w:eastAsia="宋体" w:cs="宋体"/>
          <w:b w:val="0"/>
          <w:bCs w:val="0"/>
          <w:spacing w:val="-2"/>
          <w:sz w:val="24"/>
          <w:szCs w:val="24"/>
          <w:highlight w:val="none"/>
          <w:lang w:val="en-US" w:eastAsia="zh-CN"/>
        </w:rPr>
        <w:t>.</w:t>
      </w:r>
      <w:r>
        <w:rPr>
          <w:rFonts w:hint="eastAsia" w:ascii="宋体" w:hAnsi="宋体" w:eastAsia="宋体" w:cs="宋体"/>
          <w:b w:val="0"/>
          <w:bCs w:val="0"/>
          <w:spacing w:val="-2"/>
          <w:sz w:val="24"/>
          <w:szCs w:val="24"/>
          <w:highlight w:val="none"/>
        </w:rPr>
        <w:t>8</w:t>
      </w:r>
      <w:r>
        <w:rPr>
          <w:rFonts w:hint="eastAsia" w:ascii="宋体" w:hAnsi="宋体" w:eastAsia="宋体" w:cs="宋体"/>
          <w:b w:val="0"/>
          <w:bCs w:val="0"/>
          <w:spacing w:val="-2"/>
          <w:sz w:val="24"/>
          <w:szCs w:val="24"/>
          <w:highlight w:val="none"/>
        </w:rPr>
        <w:fldChar w:fldCharType="end"/>
      </w:r>
      <w:r>
        <w:rPr>
          <w:rFonts w:hint="eastAsia" w:ascii="宋体" w:hAnsi="宋体" w:eastAsia="宋体" w:cs="宋体"/>
          <w:b w:val="0"/>
          <w:bCs w:val="0"/>
          <w:spacing w:val="-2"/>
          <w:sz w:val="24"/>
          <w:szCs w:val="24"/>
          <w:highlight w:val="none"/>
        </w:rPr>
        <w:t xml:space="preserve"> 充电终端（充电桩）断电后</w:t>
      </w:r>
      <w:r>
        <w:rPr>
          <w:rFonts w:hint="eastAsia" w:ascii="宋体" w:hAnsi="宋体" w:eastAsia="宋体" w:cs="宋体"/>
          <w:b w:val="0"/>
          <w:bCs w:val="0"/>
          <w:spacing w:val="-3"/>
          <w:sz w:val="24"/>
          <w:szCs w:val="24"/>
          <w:highlight w:val="none"/>
        </w:rPr>
        <w:t>1s 内，在其输出端子的电源线之间或电源线和保护接地</w:t>
      </w:r>
      <w:r>
        <w:rPr>
          <w:rFonts w:hint="eastAsia" w:ascii="宋体" w:hAnsi="宋体" w:eastAsia="宋体" w:cs="宋体"/>
          <w:b w:val="0"/>
          <w:bCs w:val="0"/>
          <w:spacing w:val="-1"/>
          <w:sz w:val="24"/>
          <w:szCs w:val="24"/>
          <w:highlight w:val="none"/>
        </w:rPr>
        <w:t>导体之间测量的电压值，应小于或等于60V DC，或等效存储电能小于或等于0.2J</w:t>
      </w:r>
      <w:r>
        <w:rPr>
          <w:rFonts w:hint="eastAsia" w:ascii="宋体" w:hAnsi="宋体" w:eastAsia="宋体" w:cs="宋体"/>
          <w:spacing w:val="-1"/>
          <w:sz w:val="24"/>
          <w:szCs w:val="24"/>
          <w:highlight w:val="none"/>
          <w:lang w:eastAsia="zh-CN"/>
        </w:rPr>
        <w:t>。</w:t>
      </w: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本项目采购产品应满足以下</w:t>
      </w:r>
      <w:r>
        <w:rPr>
          <w:rFonts w:hint="eastAsia" w:ascii="宋体" w:hAnsi="宋体" w:eastAsia="宋体" w:cs="宋体"/>
          <w:sz w:val="24"/>
          <w:szCs w:val="24"/>
        </w:rPr>
        <w:t>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044"/>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4044" w:type="dxa"/>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标准名称</w:t>
            </w:r>
          </w:p>
        </w:tc>
        <w:tc>
          <w:tcPr>
            <w:tcW w:w="3033" w:type="dxa"/>
            <w:vAlign w:val="center"/>
          </w:tcPr>
          <w:p>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电工电子产品环境试验概述和指南</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　第2部分：试验方法　试验A：低温</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2423.1-2008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　第2部分：试验方法　试验B：高温</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2423.2-2008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　第2部分：试验方法　试验Db：交变湿热（12h+12h循环）</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2423.4-2008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 第2部分：试验方法 试验Ka：盐雾</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2423.17-2008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电工电子产品环境试验　第2部分：环境测试实验Eh：锤击试验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2423.55-2006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外壳防护等级（IP代码）</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 4208-2008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电工电子产品自然环境条件降水和风</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4797.5-2008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机电产品包装通用技术条件</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13384-2008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限值　对额定电流大于16 A的设备在低压供电系统中产生的谐波电流的限制</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GB/Z 17625.6-2003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试验和测量技术 静电放电抗扰度试验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17626.2-2006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试验和测量技术　射频电磁场辐射抗扰度试验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17626.3-2006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试验和测量技术　电快速瞬变脉冲群抗扰度试验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17626.4-2008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试验和测量技术　浪涌(冲击)抗扰度试验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17626.5-2008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电磁兼容　试验和测量技术　电压暂降、短时中断和电压变化的抗扰度试验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17626.11-2008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电动汽车充换电设施术语</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29317-2012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电动汽车非车载充电机电能计量</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29318-2012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电动汽车充换电设施电能质量技术要求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29316-2012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19</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电动汽车非车载传导式充电机技术条件</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NB/T 33001-2018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电动汽车充电设备检验试验规范 第1部分：非车载充电机</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NB/T 33008.1-2018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电动车辆传导充电系统 第1部分：一般要求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18487.1-2015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电动车辆传导充电系统 第2部分：非车载传导供电设备电磁兼容要求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18487.2-2017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23</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电动汽车非车载传导式充电机与电池管理系统之间的通信协议</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27930-2015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电动汽车传导充电用连接装置 第1部分：通用要求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GB/T 20234.1-20</w:t>
            </w:r>
            <w:r>
              <w:rPr>
                <w:rFonts w:hint="eastAsia" w:ascii="宋体" w:hAnsi="宋体" w:eastAsia="宋体" w:cs="宋体"/>
                <w:kern w:val="0"/>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电动汽车传导充电用连接装置 第3部分：直流充电接口</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GB/T 20234.3-20</w:t>
            </w:r>
            <w:r>
              <w:rPr>
                <w:rFonts w:hint="eastAsia" w:ascii="宋体" w:hAnsi="宋体" w:eastAsia="宋体" w:cs="宋体"/>
                <w:kern w:val="0"/>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26</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电工电子产品环境试验  第2部分： 试验方法 试验Cab：恒定湿热试验</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GB/T 2423.3-2006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27</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半导体电力变流器电气试验方法</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GB/T</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13422-2013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28</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电磁兼容  限值  谐波电流发射限值（设备每相输入电流≤16 A）</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17625.1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29</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电力工程直流电源设备通用技术条件及安全要求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GB/T19826-2005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静止式直流电能表</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GB/T33708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31</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直流电能表技术规范</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Q/GDW1825-2013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32</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直流电能表检定规程</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JJG 842-2017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33</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智能电能表功能规范</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Q/GDW1354-2013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34</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单相智能电能表技术规范</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Q/GDW1364-2013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35</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直流分流器检定规程</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JJG1069-2011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36</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多功能电能表通信协议</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DL/T 645-2007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37</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电动汽车充电设备检验试验规范 第1部分：非车载充电机</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GB/T 34657.1-2017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38</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电动汽车非车载传导式充电机与电池管理系统之间的通信协议一致性测试</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GB/T 34658-2017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39</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电动汽车充电用电缆</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rPr>
              <w:t>GB/T 33594-2017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40</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电动汽车非车载充电机通用要求</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Q/GDW1233-2018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41</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en-US"/>
              </w:rPr>
            </w:pPr>
            <w:r>
              <w:rPr>
                <w:rFonts w:hint="eastAsia" w:ascii="宋体" w:hAnsi="宋体" w:eastAsia="宋体" w:cs="宋体"/>
                <w:kern w:val="0"/>
                <w:sz w:val="21"/>
                <w:szCs w:val="21"/>
                <w:lang w:eastAsia="zh-CN"/>
              </w:rPr>
              <w:t>电动汽车非车载充电机检验技术规范</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Q/GDW1591-2018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42</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环境条件分类自然环境条件 尘、沙、盐雾</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GB/T4797.6-2013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8" w:type="dxa"/>
            <w:vAlign w:val="center"/>
          </w:tcPr>
          <w:p>
            <w:pPr>
              <w:pStyle w:val="137"/>
              <w:spacing w:line="240" w:lineRule="auto"/>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43</w:t>
            </w:r>
          </w:p>
        </w:tc>
        <w:tc>
          <w:tcPr>
            <w:tcW w:w="4044" w:type="dxa"/>
            <w:vAlign w:val="center"/>
          </w:tcPr>
          <w:p>
            <w:pPr>
              <w:autoSpaceDE w:val="0"/>
              <w:autoSpaceDN w:val="0"/>
              <w:adjustRightInd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3033" w:type="dxa"/>
            <w:vAlign w:val="center"/>
          </w:tcPr>
          <w:p>
            <w:pPr>
              <w:autoSpaceDE w:val="0"/>
              <w:autoSpaceDN w:val="0"/>
              <w:adjustRightInd w:val="0"/>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IEC61851-23</w:t>
            </w: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40"/>
    </w:p>
    <w:p/>
    <w:p>
      <w:pPr>
        <w:keepNext/>
        <w:keepLines/>
        <w:spacing w:line="360" w:lineRule="auto"/>
        <w:jc w:val="center"/>
        <w:outlineLvl w:val="2"/>
        <w:rPr>
          <w:rFonts w:ascii="宋体" w:hAnsi="宋体" w:eastAsia="宋体" w:cs="宋体"/>
          <w:b/>
          <w:bCs/>
          <w:sz w:val="24"/>
          <w:szCs w:val="32"/>
        </w:rPr>
      </w:pPr>
      <w:bookmarkStart w:id="41" w:name="_Toc169605882"/>
      <w:r>
        <w:rPr>
          <w:rFonts w:hint="eastAsia" w:ascii="宋体" w:hAnsi="宋体" w:eastAsia="宋体" w:cs="宋体"/>
          <w:b/>
          <w:bCs/>
          <w:sz w:val="24"/>
          <w:szCs w:val="32"/>
        </w:rPr>
        <w:t>第一节  供货范围</w:t>
      </w:r>
      <w:bookmarkEnd w:id="41"/>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tbl>
      <w:tblPr>
        <w:tblStyle w:val="37"/>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3472"/>
        <w:gridCol w:w="814"/>
        <w:gridCol w:w="700"/>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472"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814"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700"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2766" w:type="dxa"/>
            <w:vAlign w:val="center"/>
          </w:tcPr>
          <w:p>
            <w:pPr>
              <w:spacing w:line="240" w:lineRule="auto"/>
              <w:jc w:val="center"/>
              <w:textAlignment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shd w:val="clear" w:color="auto" w:fill="FFFFFF" w:themeFill="background1"/>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472" w:type="dxa"/>
            <w:shd w:val="clear" w:color="auto" w:fill="FFFFFF" w:themeFill="background1"/>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主机电源柜</w:t>
            </w:r>
          </w:p>
        </w:tc>
        <w:tc>
          <w:tcPr>
            <w:tcW w:w="814"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台</w:t>
            </w:r>
          </w:p>
        </w:tc>
        <w:tc>
          <w:tcPr>
            <w:tcW w:w="700"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2766" w:type="dxa"/>
            <w:shd w:val="clear" w:color="auto" w:fill="FFFFFF" w:themeFill="background1"/>
            <w:vAlign w:val="center"/>
          </w:tcPr>
          <w:p>
            <w:pPr>
              <w:spacing w:line="240" w:lineRule="auto"/>
              <w:jc w:val="center"/>
              <w:rPr>
                <w:rFonts w:hint="eastAsia" w:ascii="宋体" w:hAnsi="宋体" w:eastAsia="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shd w:val="clear" w:color="auto" w:fill="FFFFFF" w:themeFill="background1"/>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472" w:type="dxa"/>
            <w:shd w:val="clear" w:color="auto" w:fill="FFFFFF" w:themeFill="background1"/>
            <w:vAlign w:val="center"/>
          </w:tcPr>
          <w:p>
            <w:pPr>
              <w:spacing w:line="24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直流充电桩</w:t>
            </w:r>
          </w:p>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(液冷充电枪)</w:t>
            </w:r>
          </w:p>
        </w:tc>
        <w:tc>
          <w:tcPr>
            <w:tcW w:w="814"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台</w:t>
            </w:r>
          </w:p>
        </w:tc>
        <w:tc>
          <w:tcPr>
            <w:tcW w:w="700"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2766" w:type="dxa"/>
            <w:shd w:val="clear" w:color="auto" w:fill="FFFFFF" w:themeFill="background1"/>
            <w:vAlign w:val="center"/>
          </w:tcPr>
          <w:p>
            <w:pPr>
              <w:spacing w:line="240" w:lineRule="auto"/>
              <w:jc w:val="center"/>
              <w:rPr>
                <w:rFonts w:hint="eastAsia" w:ascii="宋体" w:hAnsi="宋体" w:eastAsia="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shd w:val="clear" w:color="auto" w:fill="FFFFFF" w:themeFill="background1"/>
            <w:vAlign w:val="center"/>
          </w:tcPr>
          <w:p>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3</w:t>
            </w:r>
          </w:p>
        </w:tc>
        <w:tc>
          <w:tcPr>
            <w:tcW w:w="3472" w:type="dxa"/>
            <w:shd w:val="clear" w:color="auto" w:fill="FFFFFF" w:themeFill="background1"/>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pacing w:val="-1"/>
                <w:sz w:val="24"/>
                <w:szCs w:val="24"/>
                <w:highlight w:val="none"/>
                <w:lang w:eastAsia="zh-CN"/>
              </w:rPr>
              <w:t>充电运营管理云平台</w:t>
            </w:r>
          </w:p>
        </w:tc>
        <w:tc>
          <w:tcPr>
            <w:tcW w:w="814"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套</w:t>
            </w:r>
          </w:p>
        </w:tc>
        <w:tc>
          <w:tcPr>
            <w:tcW w:w="700"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c>
          <w:tcPr>
            <w:tcW w:w="2766" w:type="dxa"/>
            <w:shd w:val="clear" w:color="auto" w:fill="FFFFFF" w:themeFill="background1"/>
            <w:vAlign w:val="center"/>
          </w:tcPr>
          <w:p>
            <w:pPr>
              <w:spacing w:line="240" w:lineRule="auto"/>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shd w:val="clear" w:color="auto" w:fill="FFFFFF" w:themeFill="background1"/>
            <w:vAlign w:val="center"/>
          </w:tcPr>
          <w:p>
            <w:pPr>
              <w:spacing w:line="24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5</w:t>
            </w:r>
          </w:p>
        </w:tc>
        <w:tc>
          <w:tcPr>
            <w:tcW w:w="3472" w:type="dxa"/>
            <w:shd w:val="clear" w:color="auto" w:fill="FFFFFF" w:themeFill="background1"/>
            <w:vAlign w:val="center"/>
          </w:tcPr>
          <w:p>
            <w:pPr>
              <w:pStyle w:val="126"/>
              <w:spacing w:beforeLines="0" w:afterLines="0" w:line="240" w:lineRule="auto"/>
              <w:jc w:val="center"/>
              <w:rPr>
                <w:rFonts w:hint="eastAsia" w:ascii="宋体" w:hAnsi="宋体" w:eastAsia="宋体" w:cs="宋体"/>
                <w:color w:val="auto"/>
                <w:spacing w:val="-1"/>
                <w:sz w:val="24"/>
                <w:szCs w:val="24"/>
                <w:highlight w:val="none"/>
                <w:lang w:eastAsia="zh-CN"/>
              </w:rPr>
            </w:pPr>
            <w:r>
              <w:rPr>
                <w:rFonts w:hint="eastAsia" w:ascii="宋体" w:hAnsi="宋体" w:eastAsia="宋体" w:cs="宋体"/>
                <w:kern w:val="2"/>
                <w:sz w:val="24"/>
                <w:szCs w:val="24"/>
                <w:lang w:val="en-US" w:eastAsia="zh-CN" w:bidi="ar-SA"/>
              </w:rPr>
              <w:t>安装调试及验收</w:t>
            </w:r>
          </w:p>
        </w:tc>
        <w:tc>
          <w:tcPr>
            <w:tcW w:w="814" w:type="dxa"/>
            <w:shd w:val="clear" w:color="auto" w:fill="FFFFFF" w:themeFill="background1"/>
            <w:vAlign w:val="top"/>
          </w:tcPr>
          <w:p>
            <w:pPr>
              <w:spacing w:before="120" w:beforeLines="50" w:line="240" w:lineRule="auto"/>
              <w:jc w:val="center"/>
              <w:rPr>
                <w:rFonts w:hint="eastAsia" w:ascii="宋体" w:hAnsi="宋体" w:eastAsia="宋体" w:cs="宋体"/>
                <w:color w:val="auto"/>
                <w:sz w:val="24"/>
                <w:szCs w:val="24"/>
                <w:highlight w:val="none"/>
                <w:lang w:val="en-US" w:eastAsia="zh-CN"/>
              </w:rPr>
            </w:pPr>
          </w:p>
        </w:tc>
        <w:tc>
          <w:tcPr>
            <w:tcW w:w="700" w:type="dxa"/>
            <w:shd w:val="clear" w:color="auto" w:fill="FFFFFF" w:themeFill="background1"/>
            <w:vAlign w:val="top"/>
          </w:tcPr>
          <w:p>
            <w:pPr>
              <w:spacing w:before="120" w:beforeLines="50" w:line="240" w:lineRule="auto"/>
              <w:jc w:val="center"/>
              <w:rPr>
                <w:rFonts w:hint="eastAsia" w:ascii="宋体" w:hAnsi="宋体" w:eastAsia="宋体" w:cs="宋体"/>
                <w:color w:val="auto"/>
                <w:sz w:val="24"/>
                <w:szCs w:val="24"/>
                <w:highlight w:val="none"/>
                <w:lang w:val="en-US" w:eastAsia="zh-CN"/>
              </w:rPr>
            </w:pPr>
          </w:p>
        </w:tc>
        <w:tc>
          <w:tcPr>
            <w:tcW w:w="2766" w:type="dxa"/>
            <w:shd w:val="clear" w:color="auto" w:fill="FFFFFF" w:themeFill="background1"/>
            <w:vAlign w:val="center"/>
          </w:tcPr>
          <w:p>
            <w:pPr>
              <w:spacing w:line="240" w:lineRule="auto"/>
              <w:jc w:val="center"/>
              <w:rPr>
                <w:rFonts w:hint="eastAsia" w:ascii="宋体" w:hAnsi="宋体" w:eastAsia="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shd w:val="clear" w:color="auto" w:fill="FFFFFF" w:themeFill="background1"/>
            <w:vAlign w:val="center"/>
          </w:tcPr>
          <w:p>
            <w:pPr>
              <w:spacing w:line="240" w:lineRule="auto"/>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6</w:t>
            </w:r>
          </w:p>
        </w:tc>
        <w:tc>
          <w:tcPr>
            <w:tcW w:w="3472" w:type="dxa"/>
            <w:shd w:val="clear" w:color="auto" w:fill="FFFFFF" w:themeFill="background1"/>
            <w:vAlign w:val="center"/>
          </w:tcPr>
          <w:p>
            <w:pPr>
              <w:pStyle w:val="126"/>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kern w:val="2"/>
                <w:sz w:val="24"/>
                <w:szCs w:val="24"/>
                <w:lang w:val="en-US" w:eastAsia="zh-CN" w:bidi="ar-SA"/>
              </w:rPr>
              <w:t>技术培训</w:t>
            </w:r>
          </w:p>
        </w:tc>
        <w:tc>
          <w:tcPr>
            <w:tcW w:w="814"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p>
        </w:tc>
        <w:tc>
          <w:tcPr>
            <w:tcW w:w="700" w:type="dxa"/>
            <w:shd w:val="clear" w:color="auto" w:fill="FFFFFF" w:themeFill="background1"/>
            <w:vAlign w:val="top"/>
          </w:tcPr>
          <w:p>
            <w:pPr>
              <w:spacing w:before="120" w:beforeLines="50" w:line="240" w:lineRule="auto"/>
              <w:jc w:val="center"/>
              <w:rPr>
                <w:rFonts w:hint="eastAsia" w:ascii="宋体" w:hAnsi="宋体" w:eastAsia="宋体" w:cs="宋体"/>
                <w:color w:val="auto"/>
                <w:kern w:val="2"/>
                <w:sz w:val="24"/>
                <w:szCs w:val="24"/>
                <w:highlight w:val="none"/>
                <w:lang w:val="en-US" w:eastAsia="zh-CN" w:bidi="ar-SA"/>
              </w:rPr>
            </w:pPr>
          </w:p>
        </w:tc>
        <w:tc>
          <w:tcPr>
            <w:tcW w:w="2766" w:type="dxa"/>
            <w:shd w:val="clear" w:color="auto" w:fill="FFFFFF" w:themeFill="background1"/>
            <w:vAlign w:val="center"/>
          </w:tcPr>
          <w:p>
            <w:pPr>
              <w:spacing w:line="240" w:lineRule="auto"/>
              <w:jc w:val="center"/>
              <w:rPr>
                <w:rFonts w:hint="eastAsia" w:ascii="宋体" w:hAnsi="宋体" w:eastAsia="宋体" w:cs="宋体"/>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shd w:val="clear" w:color="auto" w:fill="FFFFFF" w:themeFill="background1"/>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3472" w:type="dxa"/>
            <w:shd w:val="clear" w:color="auto" w:fill="FFFFFF" w:themeFill="background1"/>
            <w:vAlign w:val="center"/>
          </w:tcPr>
          <w:p>
            <w:pPr>
              <w:pStyle w:val="126"/>
              <w:spacing w:beforeLines="0" w:afterLines="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设备资料电子版WORD或PDF版</w:t>
            </w:r>
          </w:p>
        </w:tc>
        <w:tc>
          <w:tcPr>
            <w:tcW w:w="814" w:type="dxa"/>
            <w:shd w:val="clear" w:color="auto" w:fill="FFFFFF" w:themeFill="background1"/>
            <w:vAlign w:val="center"/>
          </w:tcPr>
          <w:p>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rPr>
              <w:t>套</w:t>
            </w:r>
          </w:p>
        </w:tc>
        <w:tc>
          <w:tcPr>
            <w:tcW w:w="700" w:type="dxa"/>
            <w:shd w:val="clear" w:color="auto" w:fill="FFFFFF" w:themeFill="background1"/>
            <w:vAlign w:val="center"/>
          </w:tcPr>
          <w:p>
            <w:pPr>
              <w:pStyle w:val="126"/>
              <w:spacing w:beforeLines="0" w:afterLines="0" w:line="36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sz w:val="24"/>
                <w:lang w:val="en-US" w:eastAsia="zh-CN"/>
              </w:rPr>
              <w:t>1</w:t>
            </w:r>
          </w:p>
        </w:tc>
        <w:tc>
          <w:tcPr>
            <w:tcW w:w="2766" w:type="dxa"/>
            <w:shd w:val="clear" w:color="auto" w:fill="FFFFFF" w:themeFill="background1"/>
            <w:vAlign w:val="center"/>
          </w:tcPr>
          <w:p>
            <w:pPr>
              <w:spacing w:line="240" w:lineRule="auto"/>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rPr>
              <w:t>中文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含</w:t>
            </w:r>
            <w:r>
              <w:rPr>
                <w:rFonts w:hint="eastAsia" w:ascii="宋体" w:hAnsi="宋体" w:eastAsia="宋体" w:cs="宋体"/>
                <w:sz w:val="24"/>
              </w:rPr>
              <w:t>设备使用说明书</w:t>
            </w:r>
            <w:r>
              <w:rPr>
                <w:rFonts w:hint="eastAsia" w:ascii="宋体" w:hAnsi="宋体" w:eastAsia="宋体" w:cs="宋体"/>
                <w:sz w:val="24"/>
                <w:lang w:eastAsia="zh-CN"/>
              </w:rPr>
              <w:t>、</w:t>
            </w:r>
            <w:r>
              <w:rPr>
                <w:rFonts w:hint="eastAsia" w:ascii="宋体" w:hAnsi="宋体" w:eastAsia="宋体" w:cs="宋体"/>
                <w:sz w:val="24"/>
              </w:rPr>
              <w:t>系统软硬件清单</w:t>
            </w:r>
            <w:r>
              <w:rPr>
                <w:rFonts w:hint="eastAsia" w:ascii="宋体" w:hAnsi="宋体" w:eastAsia="宋体" w:cs="宋体"/>
                <w:sz w:val="24"/>
                <w:lang w:eastAsia="zh-CN"/>
              </w:rPr>
              <w:t>、</w:t>
            </w:r>
            <w:r>
              <w:rPr>
                <w:rFonts w:hint="eastAsia" w:ascii="宋体" w:hAnsi="宋体" w:eastAsia="宋体" w:cs="宋体"/>
                <w:sz w:val="24"/>
              </w:rPr>
              <w:t>技术培训资料</w:t>
            </w:r>
            <w:r>
              <w:rPr>
                <w:rFonts w:hint="eastAsia" w:ascii="宋体" w:hAnsi="宋体" w:eastAsia="宋体" w:cs="宋体"/>
                <w:sz w:val="24"/>
                <w:lang w:eastAsia="zh-CN"/>
              </w:rPr>
              <w:t>、</w:t>
            </w:r>
            <w:r>
              <w:rPr>
                <w:rFonts w:hint="eastAsia" w:ascii="宋体" w:hAnsi="宋体" w:eastAsia="宋体" w:cs="宋体"/>
                <w:sz w:val="24"/>
              </w:rPr>
              <w:t>测试报告</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符合本技术标书中“采购货物概况”和“使用环境”章节所列明品质的电力、自来水、压缩空气管线至系统接口，如：系统电力接口的接线端，水、气、汽等外围管线端联接法兰外端面</w:t>
      </w:r>
      <w:r>
        <w:rPr>
          <w:rFonts w:hint="default" w:ascii="宋体" w:hAnsi="宋体" w:eastAsia="宋体" w:cs="宋体"/>
          <w:sz w:val="24"/>
          <w:szCs w:val="24"/>
        </w:rPr>
        <w:t>（不含联接所需螺栓等紧固件和其它必需配件）</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★3.以“交钥匙”方式采购，</w:t>
      </w:r>
      <w:r>
        <w:rPr>
          <w:rFonts w:hint="eastAsia" w:ascii="宋体" w:hAnsi="宋体" w:eastAsia="宋体" w:cs="宋体"/>
          <w:sz w:val="24"/>
          <w:szCs w:val="24"/>
          <w:highlight w:val="yellow"/>
          <w:lang w:val="en-US" w:eastAsia="zh-CN"/>
        </w:rPr>
        <w:t>需</w:t>
      </w:r>
      <w:r>
        <w:rPr>
          <w:rFonts w:hint="eastAsia" w:ascii="宋体" w:hAnsi="宋体" w:eastAsia="宋体" w:cs="宋体"/>
          <w:sz w:val="24"/>
          <w:szCs w:val="24"/>
          <w:highlight w:val="yellow"/>
        </w:rPr>
        <w:t>满足技术标书本节上述要求</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变压器至整流柜管道布置由招标方负责完成</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除此之外，变压器之后所有电缆、设备布置均由投标方负责完成。此外，投标方还应协助确认变压器安装位置，线缆布置等，</w:t>
      </w:r>
      <w:r>
        <w:rPr>
          <w:rFonts w:hint="eastAsia" w:ascii="宋体" w:hAnsi="宋体" w:eastAsia="宋体" w:cs="宋体"/>
          <w:sz w:val="24"/>
          <w:szCs w:val="24"/>
          <w:highlight w:val="yellow"/>
        </w:rPr>
        <w:t>不产生报价外的其他费用</w:t>
      </w:r>
      <w:r>
        <w:rPr>
          <w:rFonts w:hint="eastAsia" w:ascii="宋体" w:hAnsi="宋体" w:eastAsia="宋体" w:cs="宋体"/>
          <w:sz w:val="24"/>
          <w:szCs w:val="24"/>
        </w:rPr>
        <w:t>。</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5.投标方应提供包括为保证货物（或生产线）自身正常运行所必需的、适应使用地点条件的通风、冷却、温控系统等。</w:t>
      </w:r>
    </w:p>
    <w:p>
      <w:pPr>
        <w:spacing w:line="360" w:lineRule="auto"/>
        <w:ind w:firstLine="480" w:firstLineChars="200"/>
        <w:rPr>
          <w:rFonts w:hint="default" w:ascii="宋体" w:hAnsi="宋体" w:eastAsia="宋体" w:cs="宋体"/>
          <w:sz w:val="24"/>
          <w:szCs w:val="24"/>
        </w:rPr>
      </w:pPr>
      <w:r>
        <w:rPr>
          <w:rFonts w:hint="default" w:ascii="宋体" w:hAnsi="宋体" w:eastAsia="宋体" w:cs="宋体"/>
          <w:sz w:val="24"/>
          <w:szCs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lang w:eastAsia="zh-CN"/>
        </w:rPr>
      </w:pPr>
      <w:r>
        <w:rPr>
          <w:rFonts w:hint="default" w:ascii="宋体" w:hAnsi="宋体" w:eastAsia="宋体" w:cs="宋体"/>
          <w:sz w:val="24"/>
          <w:szCs w:val="24"/>
        </w:rPr>
        <w:t>7.投标方应提供货物（或生产线）维修所必需的专用工具，并在投标报价部分说明数量</w:t>
      </w:r>
      <w:r>
        <w:rPr>
          <w:rFonts w:hint="eastAsia" w:ascii="宋体" w:hAnsi="宋体" w:eastAsia="宋体" w:cs="宋体"/>
          <w:sz w:val="24"/>
          <w:szCs w:val="24"/>
          <w:lang w:eastAsia="zh-CN"/>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w:t>
      </w:r>
      <w:r>
        <w:rPr>
          <w:rFonts w:hint="eastAsia" w:ascii="宋体" w:hAnsi="宋体" w:eastAsia="宋体" w:cs="宋体"/>
          <w:sz w:val="24"/>
          <w:szCs w:val="24"/>
          <w:highlight w:val="yellow"/>
          <w:lang w:val="en-US" w:eastAsia="zh-CN"/>
        </w:rPr>
        <w:t>三</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lang w:val="en-US" w:eastAsia="zh-CN"/>
        </w:rPr>
        <w:t>20</w:t>
      </w:r>
      <w:r>
        <w:rPr>
          <w:rFonts w:hint="eastAsia" w:ascii="宋体" w:hAnsi="宋体" w:eastAsia="宋体" w:cs="宋体"/>
          <w:bCs/>
          <w:sz w:val="24"/>
          <w:szCs w:val="24"/>
        </w:rPr>
        <w:t>个日历日内，提供货物基础及相关的设计、制作所需的纸质及电子版资料；电子版文件应当能够使用常用CAD、WORD、EXCEL版本软件可以阅读甚至使</w:t>
      </w:r>
      <w:r>
        <w:rPr>
          <w:rFonts w:hint="eastAsia" w:ascii="宋体" w:hAnsi="宋体" w:eastAsia="宋体" w:cs="宋体"/>
          <w:sz w:val="24"/>
          <w:szCs w:val="24"/>
          <w:lang w:val="en-US" w:eastAsia="zh-CN"/>
        </w:rPr>
        <w:t>用，进口货物、设备应有中外文对照。</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2.投标方应同时提出对厂房、基础、公用设施、消防、环保、职业危害等超出招标文件、投标文件、答疑文件、技术交流文件、技术协议书和合同等规定的、有特殊需要的解释、说明和要求。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5.在终验收后对应合同付款支付日前，提供包括货物的备品备件、易损件和专用耗材的图纸及技术参数、技术要求等资料。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8.本条款所列的技术资料、图片、影像等，投标方应各提供5套，其中2套为电子版光（软）盘；每份技术文件应装有目录清单。</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9.本条款所列要求，如招标方认为投标方提供的资料不能满足要求时，有权要求投标方免费补充或增加。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2" w:name="_Toc169605883"/>
    </w:p>
    <w:p>
      <w:pPr>
        <w:pStyle w:val="18"/>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2"/>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w:t>
      </w:r>
      <w:r>
        <w:rPr>
          <w:rFonts w:hint="eastAsia" w:ascii="宋体" w:hAnsi="宋体" w:eastAsia="宋体" w:cs="宋体"/>
          <w:sz w:val="24"/>
          <w:szCs w:val="24"/>
          <w:lang w:eastAsia="zh-CN"/>
        </w:rPr>
        <w:t>，</w:t>
      </w:r>
      <w:r>
        <w:rPr>
          <w:rFonts w:hint="eastAsia" w:ascii="宋体" w:hAnsi="宋体" w:eastAsia="宋体" w:cs="宋体"/>
          <w:sz w:val="24"/>
          <w:szCs w:val="24"/>
        </w:rPr>
        <w:t>必要的卖方现场预验收，至交货地点的运输（含定点装卸）、安装、调试、买方安装地竣工验收服务、货物移交、约定培训等全流程范围。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bCs/>
          <w:sz w:val="24"/>
          <w:szCs w:val="24"/>
          <w:highlight w:val="yellow"/>
        </w:rPr>
        <w:t>各包次按照建设地点分别供货</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pStyle w:val="2"/>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1.</w:t>
      </w:r>
      <w:r>
        <w:rPr>
          <w:rFonts w:hint="eastAsia" w:ascii="宋体" w:hAnsi="宋体" w:eastAsia="宋体"/>
          <w:sz w:val="24"/>
          <w:szCs w:val="24"/>
          <w:highlight w:val="yellow"/>
        </w:rPr>
        <w:t>自合同签定生效之日起，</w:t>
      </w:r>
      <w:r>
        <w:rPr>
          <w:rFonts w:hint="eastAsia" w:ascii="宋体" w:hAnsi="宋体" w:eastAsia="宋体"/>
          <w:sz w:val="24"/>
          <w:szCs w:val="24"/>
          <w:highlight w:val="yellow"/>
          <w:u w:val="single"/>
          <w:lang w:val="en-US" w:eastAsia="zh-CN"/>
        </w:rPr>
        <w:t>50</w:t>
      </w:r>
      <w:r>
        <w:rPr>
          <w:rFonts w:hint="eastAsia" w:ascii="宋体" w:hAnsi="宋体" w:eastAsia="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shd w:val="clear" w:color="auto" w:fill="FFFFFF"/>
          <w:lang w:val="en-US" w:eastAsia="zh-CN"/>
        </w:rPr>
        <w:t>10</w:t>
      </w:r>
      <w:r>
        <w:rPr>
          <w:rFonts w:hint="eastAsia" w:ascii="宋体" w:hAnsi="宋体" w:eastAsia="宋体" w:cs="宋体"/>
          <w:sz w:val="24"/>
          <w:szCs w:val="24"/>
          <w:highlight w:val="yellow"/>
        </w:rPr>
        <w:t>个日历日之内安装调试完毕。</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80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3"/>
    </w:p>
    <w:p>
      <w:pPr>
        <w:pStyle w:val="119"/>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.全部供货范围内的设备、材料、零配件和工器具等，除合同特别约定外，质保期均自终验收签字生效之日起</w:t>
      </w:r>
      <w:r>
        <w:rPr>
          <w:rFonts w:hint="eastAsia" w:ascii="宋体" w:hAnsi="宋体" w:eastAsia="宋体" w:cs="宋体"/>
          <w:b/>
          <w:bCs/>
          <w:sz w:val="24"/>
          <w:szCs w:val="24"/>
          <w:highlight w:val="yellow"/>
          <w:u w:val="single"/>
          <w:lang w:val="en-US" w:eastAsia="zh-CN"/>
        </w:rPr>
        <w:t>24</w:t>
      </w:r>
      <w:r>
        <w:rPr>
          <w:rFonts w:hint="eastAsia" w:ascii="宋体" w:hAnsi="宋体" w:eastAsia="宋体" w:cs="宋体"/>
          <w:sz w:val="24"/>
          <w:szCs w:val="24"/>
        </w:rPr>
        <w:t>个月</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highlight w:val="yellow"/>
        </w:rPr>
      </w:pPr>
      <w:r>
        <w:rPr>
          <w:rFonts w:hint="default" w:ascii="宋体" w:hAnsi="宋体" w:eastAsia="宋体" w:cs="宋体"/>
          <w:sz w:val="24"/>
          <w:szCs w:val="24"/>
          <w:highlight w:val="yellow"/>
        </w:rPr>
        <w:t>5.质量保证期满后，投标方保证向招标方提供及时的、质优的、价格优惠的技术服务和备品备件供应</w:t>
      </w:r>
      <w:r>
        <w:rPr>
          <w:rFonts w:hint="default" w:ascii="宋体" w:hAnsi="宋体" w:eastAsia="宋体" w:cs="宋体"/>
          <w:sz w:val="24"/>
          <w:szCs w:val="24"/>
          <w:highlight w:val="yellow"/>
          <w:lang w:eastAsia="zh-CN"/>
        </w:rPr>
        <w:t>，</w:t>
      </w:r>
      <w:r>
        <w:rPr>
          <w:rFonts w:hint="default" w:ascii="宋体" w:hAnsi="宋体" w:eastAsia="宋体" w:cs="宋体"/>
          <w:sz w:val="24"/>
          <w:szCs w:val="24"/>
          <w:highlight w:val="yellow"/>
          <w:lang w:val="en-US" w:eastAsia="zh-CN"/>
        </w:rPr>
        <w:t>价格不高于投标商务分项报价</w:t>
      </w:r>
      <w:r>
        <w:rPr>
          <w:rFonts w:hint="eastAsia" w:ascii="宋体" w:hAnsi="宋体" w:eastAsia="宋体" w:cs="宋体"/>
          <w:sz w:val="24"/>
          <w:szCs w:val="24"/>
          <w:highlight w:val="yellow"/>
          <w:lang w:val="en-US" w:eastAsia="zh-CN"/>
        </w:rPr>
        <w:t>。</w:t>
      </w:r>
    </w:p>
    <w:p>
      <w:pPr>
        <w:pStyle w:val="119"/>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default" w:ascii="宋体" w:hAnsi="宋体" w:eastAsia="宋体" w:cs="宋体"/>
          <w:color w:val="000000"/>
          <w:sz w:val="24"/>
          <w:szCs w:val="24"/>
        </w:rPr>
        <w:t>培训工作日不少于</w:t>
      </w:r>
      <w:r>
        <w:rPr>
          <w:rFonts w:hint="default" w:ascii="宋体" w:hAnsi="宋体" w:eastAsia="宋体" w:cs="宋体"/>
          <w:color w:val="000000"/>
          <w:sz w:val="24"/>
          <w:szCs w:val="24"/>
          <w:highlight w:val="yellow"/>
          <w:u w:val="single"/>
        </w:rPr>
        <w:t xml:space="preserve"> </w:t>
      </w:r>
      <w:r>
        <w:rPr>
          <w:rFonts w:hint="default" w:ascii="宋体" w:hAnsi="宋体" w:eastAsia="宋体" w:cs="宋体"/>
          <w:color w:val="000000"/>
          <w:sz w:val="24"/>
          <w:szCs w:val="24"/>
          <w:highlight w:val="yellow"/>
          <w:u w:val="single"/>
          <w:lang w:val="en-US" w:eastAsia="zh-CN"/>
        </w:rPr>
        <w:t>5</w:t>
      </w:r>
      <w:r>
        <w:rPr>
          <w:rFonts w:hint="default" w:ascii="宋体" w:hAnsi="宋体" w:eastAsia="宋体" w:cs="宋体"/>
          <w:color w:val="000000"/>
          <w:sz w:val="24"/>
          <w:szCs w:val="24"/>
          <w:highlight w:val="yellow"/>
          <w:u w:val="single"/>
        </w:rPr>
        <w:t xml:space="preserve"> </w:t>
      </w:r>
      <w:r>
        <w:rPr>
          <w:rFonts w:hint="default" w:ascii="宋体" w:hAnsi="宋体" w:eastAsia="宋体" w:cs="宋体"/>
          <w:color w:val="000000"/>
          <w:sz w:val="24"/>
          <w:szCs w:val="24"/>
          <w:highlight w:val="yellow"/>
        </w:rPr>
        <w:t>个</w:t>
      </w:r>
      <w:r>
        <w:rPr>
          <w:rFonts w:hint="default" w:ascii="宋体" w:hAnsi="宋体" w:eastAsia="宋体" w:cs="宋体"/>
          <w:color w:val="000000"/>
          <w:sz w:val="24"/>
          <w:szCs w:val="24"/>
        </w:rPr>
        <w:t>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9"/>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9"/>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9"/>
        <w:spacing w:line="360" w:lineRule="auto"/>
        <w:rPr>
          <w:rFonts w:hint="eastAsia" w:ascii="宋体" w:hAnsi="宋体" w:eastAsia="宋体" w:cs="宋体"/>
          <w:lang w:val="en-US" w:eastAsia="zh-CN"/>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8"/>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4" w:name="_Toc465187646"/>
      <w:r>
        <w:rPr>
          <w:rFonts w:hint="eastAsia" w:ascii="Calibri" w:hAnsi="Calibri" w:eastAsia="宋体" w:cs="Times New Roman"/>
          <w:b/>
          <w:bCs/>
          <w:kern w:val="44"/>
          <w:sz w:val="28"/>
          <w:szCs w:val="28"/>
        </w:rPr>
        <w:t>第五章  终验收</w:t>
      </w:r>
      <w:bookmarkEnd w:id="44"/>
    </w:p>
    <w:p>
      <w:pPr>
        <w:pStyle w:val="119"/>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9"/>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9"/>
        <w:spacing w:line="360" w:lineRule="auto"/>
        <w:rPr>
          <w:rFonts w:ascii="宋体" w:hAnsi="宋体" w:cs="宋体"/>
          <w:highlight w:val="yellow"/>
        </w:rPr>
      </w:pPr>
      <w:r>
        <w:rPr>
          <w:rFonts w:hint="eastAsia" w:ascii="宋体" w:hAnsi="宋体" w:cs="宋体"/>
          <w:highlight w:val="yellow"/>
        </w:rPr>
        <w:t>三、验收基本条件</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w:t>
      </w:r>
      <w:r>
        <w:rPr>
          <w:rFonts w:hint="eastAsia" w:ascii="宋体" w:hAnsi="宋体" w:eastAsia="宋体" w:cs="宋体"/>
          <w:color w:val="auto"/>
          <w:sz w:val="24"/>
          <w:szCs w:val="24"/>
          <w:highlight w:val="none"/>
          <w:lang w:val="en-US" w:eastAsia="zh-CN"/>
        </w:rPr>
        <w:t>只含</w:t>
      </w:r>
      <w:r>
        <w:rPr>
          <w:rFonts w:hint="eastAsia" w:ascii="宋体" w:hAnsi="宋体" w:eastAsia="宋体" w:cs="宋体"/>
          <w:color w:val="auto"/>
          <w:sz w:val="24"/>
          <w:szCs w:val="24"/>
          <w:highlight w:val="none"/>
        </w:rPr>
        <w:t>终验收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在安装调试完成及试运行后的招标方现场进行。</w:t>
      </w:r>
    </w:p>
    <w:p>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买卖双方按照合同约定执行了合同，同时货物完成了试运行并经检验合格，则具备验收条件</w:t>
      </w:r>
    </w:p>
    <w:p>
      <w:pPr>
        <w:spacing w:line="360" w:lineRule="auto"/>
        <w:outlineLvl w:val="3"/>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val="en-US" w:eastAsia="zh-CN"/>
        </w:rPr>
        <w:t>终</w:t>
      </w:r>
      <w:r>
        <w:rPr>
          <w:rFonts w:hint="eastAsia" w:ascii="宋体" w:hAnsi="宋体" w:eastAsia="宋体" w:cs="宋体"/>
          <w:b/>
          <w:bCs/>
          <w:color w:val="000000"/>
          <w:sz w:val="24"/>
          <w:szCs w:val="24"/>
        </w:rPr>
        <w:t>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.1投标方已经按照“供货范围”要求提供了验收资料，并且资料齐全、完整和有效；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.2货物应完整且所有的零部件应该安装牢固，外观无损伤，所有的焊缝饱满、无残渣等缺陷；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.3货物的油漆质量应饱满、有光泽，无掉漆、无色差、无“桔皮”等不良现象（特殊标志除外）；</w:t>
      </w:r>
    </w:p>
    <w:p>
      <w:pPr>
        <w:adjustRightInd w:val="0"/>
        <w:snapToGrid w:val="0"/>
        <w:spacing w:line="360" w:lineRule="auto"/>
        <w:ind w:firstLine="480" w:firstLineChars="200"/>
        <w:outlineLvl w:val="4"/>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.4货物标牌完整、清晰、明确；</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.5货物的安全要求符合中国最新的相关法律、法规、标准和规范以及合同要求。</w:t>
      </w:r>
    </w:p>
    <w:p>
      <w:pPr>
        <w:spacing w:line="360" w:lineRule="auto"/>
        <w:ind w:firstLine="480" w:firstLineChars="200"/>
        <w:outlineLvl w:val="4"/>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货物安装调试完毕，并至少经过了验收要求的负荷试运行；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货物正常运行时，噪声等环境影响因素满足国家和当地环保主管部门规定，安全措施落实、有效；</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计量仪器、仪表配套合理，采用中国的法定计量单位，计量准确、灵敏可靠。保证设计指标和仪器说明书的参数的实现；</w:t>
      </w:r>
    </w:p>
    <w:p>
      <w:pPr>
        <w:spacing w:line="360" w:lineRule="auto"/>
        <w:ind w:firstLine="480" w:firstLineChars="200"/>
        <w:outlineLvl w:val="4"/>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试运行期间或之后无维修、调整等行为（特殊情况除外）；</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货物质量、技术性能等，达到签定的技术标书和合同规定的终验收标准；</w:t>
      </w:r>
    </w:p>
    <w:p>
      <w:pPr>
        <w:spacing w:line="360" w:lineRule="auto"/>
        <w:outlineLvl w:val="3"/>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rPr>
        <w:t>.终验收基本要求：</w:t>
      </w:r>
    </w:p>
    <w:p>
      <w:pPr>
        <w:spacing w:line="360" w:lineRule="auto"/>
        <w:ind w:firstLine="480" w:firstLineChars="200"/>
        <w:outlineLvl w:val="4"/>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.1设备构成、备件齐全</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设备技术规格满足招标书中的技术要求。</w:t>
      </w:r>
    </w:p>
    <w:p>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设备安装调试完成后，进行三轮功能测试，然后进行实际运行，考核设备可靠性，</w:t>
      </w:r>
      <w:r>
        <w:rPr>
          <w:rFonts w:hint="eastAsia" w:ascii="宋体" w:hAnsi="宋体" w:eastAsia="宋体" w:cs="宋体"/>
          <w:sz w:val="24"/>
          <w:szCs w:val="24"/>
          <w:highlight w:val="none"/>
        </w:rPr>
        <w:t>考核期不少于60天。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.3对所有设备功能进行演示操作，包括对所有设备和传感器进行校准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需出具省级及以上计量院校准证书</w:t>
      </w:r>
      <w:r>
        <w:rPr>
          <w:rFonts w:hint="eastAsia" w:ascii="宋体" w:hAnsi="宋体" w:eastAsia="宋体" w:cs="宋体"/>
          <w:color w:val="000000"/>
          <w:sz w:val="24"/>
          <w:szCs w:val="24"/>
        </w:rPr>
        <w:t>。</w:t>
      </w:r>
    </w:p>
    <w:p>
      <w:pPr>
        <w:spacing w:line="360" w:lineRule="auto"/>
        <w:ind w:firstLine="480" w:firstLineChars="200"/>
        <w:outlineLvl w:val="4"/>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.4出现下列问题之一，视作验收失败：</w:t>
      </w:r>
    </w:p>
    <w:p>
      <w:pPr>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.4.1设备验收时，其参数无法满足招标书中的技术要求；</w:t>
      </w:r>
    </w:p>
    <w:p>
      <w:pPr>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.4.2在整个验收过程中发生关键零部件损坏或重大故障；</w:t>
      </w:r>
    </w:p>
    <w:p>
      <w:pPr>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.4.3一般性故障超过</w:t>
      </w:r>
      <w:r>
        <w:rPr>
          <w:rFonts w:hint="eastAsia" w:ascii="宋体" w:hAnsi="宋体" w:eastAsia="宋体" w:cs="宋体"/>
          <w:color w:val="000000"/>
          <w:sz w:val="24"/>
          <w:szCs w:val="24"/>
          <w:u w:val="single"/>
        </w:rPr>
        <w:t xml:space="preserve"> 2 </w:t>
      </w:r>
      <w:r>
        <w:rPr>
          <w:rFonts w:hint="eastAsia" w:ascii="宋体" w:hAnsi="宋体" w:eastAsia="宋体" w:cs="宋体"/>
          <w:color w:val="000000"/>
          <w:sz w:val="24"/>
          <w:szCs w:val="24"/>
        </w:rPr>
        <w:t>次；</w:t>
      </w:r>
    </w:p>
    <w:p>
      <w:pPr>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.4.4更换的零部件货值超过总货值的</w:t>
      </w:r>
      <w:r>
        <w:rPr>
          <w:rFonts w:hint="eastAsia" w:ascii="宋体" w:hAnsi="宋体" w:eastAsia="宋体" w:cs="宋体"/>
          <w:color w:val="000000"/>
          <w:sz w:val="24"/>
          <w:szCs w:val="24"/>
          <w:u w:val="single"/>
        </w:rPr>
        <w:t xml:space="preserve">  1  </w:t>
      </w:r>
      <w:r>
        <w:rPr>
          <w:rFonts w:hint="eastAsia" w:ascii="宋体" w:hAnsi="宋体" w:eastAsia="宋体" w:cs="宋体"/>
          <w:color w:val="000000"/>
          <w:sz w:val="24"/>
          <w:szCs w:val="24"/>
        </w:rPr>
        <w:t>%；</w:t>
      </w:r>
    </w:p>
    <w:p>
      <w:pPr>
        <w:spacing w:line="360" w:lineRule="auto"/>
        <w:ind w:firstLine="480" w:firstLineChars="200"/>
        <w:outlineLvl w:val="4"/>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.5累计负载运行实际性能（或生产率）达到合同规定；</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.6终验收原则上要求一次完成。若一次验收不成功，最多允许两次；如果出现第三次验收失败，重新作价或退货；</w:t>
      </w:r>
    </w:p>
    <w:p>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.7终验收通过后买卖双方共同签署终验收报告，并移交、核对全部供货范围内物品。</w:t>
      </w:r>
    </w:p>
    <w:p>
      <w:pPr>
        <w:pStyle w:val="18"/>
        <w:spacing w:line="360" w:lineRule="auto"/>
      </w:pPr>
    </w:p>
    <w:p>
      <w:pPr>
        <w:pStyle w:val="132"/>
        <w:outlineLvl w:val="1"/>
        <w:rPr>
          <w:rFonts w:eastAsia="宋体"/>
          <w:b/>
          <w:bCs w:val="0"/>
          <w:iCs/>
          <w:color w:val="auto"/>
          <w:sz w:val="28"/>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bookmarkStart w:id="45" w:name="_Toc465187647"/>
    </w:p>
    <w:p>
      <w:pPr>
        <w:pStyle w:val="132"/>
        <w:spacing w:line="360" w:lineRule="auto"/>
        <w:outlineLvl w:val="1"/>
        <w:rPr>
          <w:rFonts w:eastAsia="宋体"/>
          <w:b/>
          <w:bCs w:val="0"/>
          <w:iCs/>
          <w:color w:val="auto"/>
          <w:sz w:val="24"/>
        </w:rPr>
      </w:pPr>
      <w:r>
        <w:rPr>
          <w:rFonts w:eastAsia="宋体"/>
          <w:b/>
          <w:bCs w:val="0"/>
          <w:iCs/>
          <w:color w:val="auto"/>
          <w:sz w:val="24"/>
        </w:rPr>
        <w:t>第六章  投标技术文件一般要求</w:t>
      </w:r>
      <w:bookmarkEnd w:id="45"/>
    </w:p>
    <w:p>
      <w:pPr>
        <w:pStyle w:val="119"/>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9"/>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9"/>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46" w:name="_Toc465187648"/>
    </w:p>
    <w:p>
      <w:pPr>
        <w:pStyle w:val="132"/>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46"/>
    </w:p>
    <w:p>
      <w:pPr>
        <w:pStyle w:val="119"/>
        <w:spacing w:line="360" w:lineRule="auto"/>
        <w:rPr>
          <w:rFonts w:ascii="宋体" w:hAnsi="宋体" w:cs="宋体"/>
          <w:color w:val="auto"/>
        </w:rPr>
      </w:pPr>
      <w:r>
        <w:rPr>
          <w:rFonts w:hint="eastAsia" w:ascii="宋体" w:hAnsi="宋体" w:cs="宋体"/>
          <w:color w:val="auto"/>
        </w:rPr>
        <w:t>一、要求</w:t>
      </w:r>
    </w:p>
    <w:p>
      <w:pPr>
        <w:pStyle w:val="21"/>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highlight w:val="yellow"/>
        </w:rPr>
        <w:t>与本采购货物相同或相似技术规格、型号的而且已经正常使用或通过验收的近三年以上的货物的市场销售业绩清单，</w:t>
      </w:r>
      <w:r>
        <w:rPr>
          <w:rFonts w:hint="eastAsia" w:ascii="宋体" w:hAnsi="宋体" w:eastAsia="宋体" w:cs="宋体"/>
          <w:sz w:val="24"/>
          <w:szCs w:val="24"/>
        </w:rPr>
        <w:t>清单中应具备：买方单位名称、销售货物的规格型号、数量、（交货）时间、联系人和联系电话（非移动通信号码）等条目内容；投标人应当保证其业绩的真实性，否则将影响投标或中标资格。</w:t>
      </w:r>
    </w:p>
    <w:p>
      <w:pPr>
        <w:pStyle w:val="119"/>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18"/>
        <w:spacing w:line="360" w:lineRule="auto"/>
        <w:rPr>
          <w:rFonts w:hAnsi="宋体" w:eastAsia="宋体" w:cs="宋体"/>
          <w:sz w:val="24"/>
          <w:szCs w:val="24"/>
        </w:rPr>
        <w:sectPr>
          <w:pgSz w:w="11907" w:h="16840"/>
          <w:pgMar w:top="1304" w:right="1418" w:bottom="1304" w:left="1418" w:header="724" w:footer="851" w:gutter="0"/>
          <w:cols w:space="720" w:num="1"/>
          <w:docGrid w:linePitch="290" w:charSpace="-3931"/>
        </w:sectPr>
      </w:pPr>
    </w:p>
    <w:p>
      <w:pPr>
        <w:pStyle w:val="18"/>
      </w:pPr>
    </w:p>
    <w:p>
      <w:pPr>
        <w:spacing w:line="360" w:lineRule="auto"/>
        <w:jc w:val="center"/>
        <w:outlineLvl w:val="0"/>
        <w:rPr>
          <w:rFonts w:ascii="宋体" w:hAnsi="Calibri" w:eastAsia="宋体" w:cs="Times New Roman"/>
          <w:b/>
          <w:sz w:val="36"/>
          <w:szCs w:val="36"/>
        </w:rPr>
      </w:pPr>
      <w:bookmarkStart w:id="47"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18"/>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8"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outlineLvl w:val="1"/>
        <w:rPr>
          <w:rFonts w:ascii="黑体" w:hAnsi="黑体" w:eastAsia="黑体" w:cstheme="minorEastAsia"/>
          <w:b w:val="0"/>
          <w:sz w:val="28"/>
          <w:szCs w:val="28"/>
        </w:rPr>
      </w:pPr>
      <w:bookmarkStart w:id="49" w:name="_Toc11930"/>
      <w:bookmarkStart w:id="50" w:name="_Toc16330018"/>
      <w:bookmarkStart w:id="51" w:name="_Toc11823"/>
      <w:bookmarkStart w:id="52" w:name="_Toc17619"/>
      <w:r>
        <w:rPr>
          <w:rFonts w:hint="eastAsia" w:ascii="黑体" w:hAnsi="黑体" w:eastAsia="黑体" w:cstheme="minorEastAsia"/>
          <w:b w:val="0"/>
          <w:sz w:val="28"/>
          <w:szCs w:val="28"/>
        </w:rPr>
        <w:t>1 合同设备</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3" w:name="_Toc22800"/>
      <w:bookmarkStart w:id="54" w:name="_Toc32510"/>
      <w:bookmarkStart w:id="55"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16330019"/>
      <w:r>
        <w:rPr>
          <w:rFonts w:hint="eastAsia" w:ascii="黑体" w:hAnsi="黑体" w:eastAsia="黑体" w:cstheme="minorEastAsia"/>
          <w:b w:val="0"/>
          <w:sz w:val="28"/>
          <w:szCs w:val="28"/>
        </w:rPr>
        <w:t>2 包装</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2833"/>
      <w:bookmarkStart w:id="58" w:name="_Toc27144"/>
      <w:bookmarkStart w:id="59" w:name="_Toc16330020"/>
      <w:bookmarkStart w:id="60" w:name="_Toc27453"/>
      <w:r>
        <w:rPr>
          <w:rFonts w:hint="eastAsia" w:ascii="黑体" w:hAnsi="黑体" w:eastAsia="黑体" w:cstheme="minorEastAsia"/>
          <w:b w:val="0"/>
          <w:sz w:val="28"/>
          <w:szCs w:val="28"/>
        </w:rPr>
        <w:t>3 运输标记</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16133"/>
      <w:bookmarkStart w:id="62" w:name="_Toc10630"/>
      <w:bookmarkStart w:id="63" w:name="_Toc7431"/>
      <w:bookmarkStart w:id="64" w:name="_Toc16330021"/>
      <w:r>
        <w:rPr>
          <w:rFonts w:hint="eastAsia" w:ascii="黑体" w:hAnsi="黑体" w:eastAsia="黑体" w:cstheme="minorEastAsia"/>
          <w:b w:val="0"/>
          <w:sz w:val="28"/>
          <w:szCs w:val="28"/>
        </w:rPr>
        <w:t>4 检验</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9850"/>
      <w:bookmarkStart w:id="66" w:name="_Toc11217"/>
      <w:bookmarkStart w:id="67" w:name="_Toc16330022"/>
      <w:bookmarkStart w:id="68" w:name="_Toc24467"/>
      <w:r>
        <w:rPr>
          <w:rFonts w:hint="eastAsia" w:ascii="黑体" w:hAnsi="黑体" w:eastAsia="黑体" w:cstheme="minorEastAsia"/>
          <w:b w:val="0"/>
          <w:sz w:val="28"/>
          <w:szCs w:val="28"/>
        </w:rPr>
        <w:t>5 权利担保</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14809"/>
      <w:bookmarkStart w:id="70" w:name="_Toc16330023"/>
      <w:bookmarkStart w:id="71" w:name="_Toc27500"/>
      <w:bookmarkStart w:id="72" w:name="_Toc11759"/>
      <w:r>
        <w:rPr>
          <w:rFonts w:hint="eastAsia" w:ascii="黑体" w:hAnsi="黑体" w:eastAsia="黑体" w:cstheme="minorEastAsia"/>
          <w:b w:val="0"/>
          <w:sz w:val="28"/>
          <w:szCs w:val="28"/>
        </w:rPr>
        <w:t>6 交货</w:t>
      </w:r>
      <w:bookmarkEnd w:id="69"/>
      <w:bookmarkEnd w:id="70"/>
      <w:bookmarkEnd w:id="71"/>
      <w:bookmarkEnd w:id="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25510"/>
      <w:bookmarkStart w:id="74" w:name="_Toc2984"/>
      <w:bookmarkStart w:id="75" w:name="_Toc16330024"/>
      <w:bookmarkStart w:id="76" w:name="_Toc8024"/>
      <w:r>
        <w:rPr>
          <w:rFonts w:hint="eastAsia" w:ascii="黑体" w:hAnsi="黑体" w:eastAsia="黑体" w:cstheme="minorEastAsia"/>
          <w:b w:val="0"/>
          <w:sz w:val="28"/>
          <w:szCs w:val="28"/>
        </w:rPr>
        <w:t>7 安装、调试</w:t>
      </w:r>
      <w:bookmarkEnd w:id="73"/>
      <w:bookmarkEnd w:id="74"/>
      <w:bookmarkEnd w:id="75"/>
      <w:bookmarkEnd w:id="76"/>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330025"/>
      <w:bookmarkStart w:id="78" w:name="_Toc14098"/>
      <w:bookmarkStart w:id="79" w:name="_Toc6350"/>
      <w:bookmarkStart w:id="80" w:name="_Toc14260"/>
      <w:r>
        <w:rPr>
          <w:rFonts w:hint="eastAsia" w:ascii="黑体" w:hAnsi="黑体" w:eastAsia="黑体" w:cstheme="minorEastAsia"/>
          <w:b w:val="0"/>
          <w:sz w:val="28"/>
          <w:szCs w:val="28"/>
        </w:rPr>
        <w:t>8 价款与支付</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1" w:name="_Toc14531628"/>
      <w:bookmarkStart w:id="82"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1"/>
      <w:bookmarkEnd w:id="82"/>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6330026"/>
      <w:bookmarkStart w:id="84" w:name="_Toc6726"/>
      <w:bookmarkStart w:id="85" w:name="_Toc24085"/>
      <w:bookmarkStart w:id="86" w:name="_Toc25708"/>
      <w:r>
        <w:rPr>
          <w:rFonts w:hint="eastAsia" w:ascii="黑体" w:hAnsi="黑体" w:eastAsia="黑体" w:cstheme="minorEastAsia"/>
          <w:b w:val="0"/>
          <w:sz w:val="28"/>
          <w:szCs w:val="28"/>
        </w:rPr>
        <w:t>9 质量保证及售后服务</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6330027"/>
      <w:bookmarkStart w:id="88" w:name="_Toc10359"/>
      <w:bookmarkStart w:id="89" w:name="_Toc12927"/>
      <w:bookmarkStart w:id="90" w:name="_Toc15570"/>
      <w:r>
        <w:rPr>
          <w:rFonts w:hint="eastAsia" w:ascii="黑体" w:hAnsi="黑体" w:eastAsia="黑体" w:cstheme="minorEastAsia"/>
          <w:b w:val="0"/>
          <w:sz w:val="28"/>
          <w:szCs w:val="28"/>
        </w:rPr>
        <w:t>10法定责任</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30381"/>
      <w:bookmarkStart w:id="92" w:name="_Toc27314"/>
      <w:bookmarkStart w:id="93" w:name="_Toc16330028"/>
      <w:bookmarkStart w:id="94" w:name="_Toc9708"/>
      <w:r>
        <w:rPr>
          <w:rFonts w:hint="eastAsia" w:ascii="黑体" w:hAnsi="黑体" w:eastAsia="黑体" w:cstheme="minorEastAsia"/>
          <w:b w:val="0"/>
          <w:sz w:val="28"/>
          <w:szCs w:val="28"/>
        </w:rPr>
        <w:t>11 违约责任</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买方有权就卖方违约而随时解除本合同，且卖方仍须支付上述违约金，并赔偿由此给买方造成的一切损失。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11.4如卖方未按7.1条履行义务，卖方应向买方支付违约金，违约金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1827"/>
      <w:bookmarkStart w:id="96" w:name="_Toc31554"/>
      <w:bookmarkStart w:id="97" w:name="_Toc9172"/>
      <w:bookmarkStart w:id="98" w:name="_Toc16330029"/>
      <w:r>
        <w:rPr>
          <w:rFonts w:hint="eastAsia" w:ascii="黑体" w:hAnsi="黑体" w:eastAsia="黑体" w:cstheme="minorEastAsia"/>
          <w:b w:val="0"/>
          <w:sz w:val="28"/>
          <w:szCs w:val="28"/>
        </w:rPr>
        <w:t>12 合同的终止与解除</w:t>
      </w:r>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8620"/>
      <w:bookmarkStart w:id="100" w:name="_Toc13671"/>
      <w:bookmarkStart w:id="101" w:name="_Toc16330030"/>
      <w:bookmarkStart w:id="102" w:name="_Toc31945"/>
      <w:r>
        <w:rPr>
          <w:rFonts w:hint="eastAsia" w:ascii="黑体" w:hAnsi="黑体" w:eastAsia="黑体" w:cstheme="minorEastAsia"/>
          <w:b w:val="0"/>
          <w:sz w:val="28"/>
          <w:szCs w:val="28"/>
        </w:rPr>
        <w:t>13 不可抗力</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31243"/>
      <w:bookmarkStart w:id="104" w:name="_Toc16330031"/>
      <w:bookmarkStart w:id="105" w:name="_Toc30389"/>
      <w:bookmarkStart w:id="106" w:name="_Toc637"/>
      <w:r>
        <w:rPr>
          <w:rFonts w:hint="eastAsia" w:ascii="黑体" w:hAnsi="黑体" w:eastAsia="黑体" w:cstheme="minorEastAsia"/>
          <w:b w:val="0"/>
          <w:sz w:val="28"/>
          <w:szCs w:val="28"/>
        </w:rPr>
        <w:t>14 通讯</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107" w:name="_Toc9915"/>
      <w:bookmarkStart w:id="108" w:name="_Toc16330032"/>
      <w:bookmarkStart w:id="109" w:name="_Toc11290"/>
      <w:bookmarkStart w:id="110" w:name="_Toc12984"/>
      <w:r>
        <w:rPr>
          <w:rFonts w:hint="eastAsia" w:ascii="黑体" w:hAnsi="黑体" w:eastAsia="黑体" w:cstheme="minorEastAsia"/>
          <w:b w:val="0"/>
          <w:sz w:val="28"/>
          <w:szCs w:val="28"/>
        </w:rPr>
        <w:t>15 适用法律及争议解决</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23906"/>
      <w:bookmarkStart w:id="112" w:name="_Toc23765"/>
      <w:bookmarkStart w:id="113" w:name="_Toc16330033"/>
      <w:bookmarkStart w:id="114" w:name="_Toc18207"/>
      <w:r>
        <w:rPr>
          <w:rFonts w:hint="eastAsia" w:ascii="黑体" w:hAnsi="黑体" w:eastAsia="黑体" w:cstheme="minorEastAsia"/>
          <w:b w:val="0"/>
          <w:sz w:val="28"/>
          <w:szCs w:val="28"/>
        </w:rPr>
        <w:t>16 附件</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31331"/>
      <w:bookmarkStart w:id="116" w:name="_Toc16330034"/>
      <w:bookmarkStart w:id="117" w:name="_Toc27202"/>
      <w:bookmarkStart w:id="118" w:name="_Toc17656"/>
      <w:r>
        <w:rPr>
          <w:rFonts w:hint="eastAsia" w:ascii="黑体" w:hAnsi="黑体" w:eastAsia="黑体" w:cstheme="minorEastAsia"/>
          <w:b w:val="0"/>
          <w:sz w:val="28"/>
          <w:szCs w:val="28"/>
        </w:rPr>
        <w:t>17 其他规定</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9" w:name="_Toc29136"/>
      <w:bookmarkStart w:id="120" w:name="_Toc19077"/>
      <w:bookmarkStart w:id="121" w:name="_Toc17952"/>
      <w:bookmarkStart w:id="122"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rPr>
          <w:sz w:val="24"/>
          <w:szCs w:val="24"/>
        </w:rPr>
      </w:pPr>
      <w:bookmarkStart w:id="123" w:name="_Toc16330036"/>
      <w:bookmarkStart w:id="124" w:name="_Toc28611"/>
      <w:bookmarkStart w:id="125" w:name="_Toc15689"/>
      <w:bookmarkStart w:id="126" w:name="_Toc10272"/>
    </w:p>
    <w:bookmarkEnd w:id="123"/>
    <w:bookmarkEnd w:id="124"/>
    <w:bookmarkEnd w:id="125"/>
    <w:bookmarkEnd w:id="126"/>
    <w:p>
      <w:pPr>
        <w:rPr>
          <w:sz w:val="24"/>
          <w:szCs w:val="24"/>
        </w:rPr>
      </w:pPr>
      <w:r>
        <w:rPr>
          <w:rFonts w:hint="eastAsia"/>
          <w:sz w:val="24"/>
          <w:szCs w:val="24"/>
        </w:rPr>
        <w:br w:type="page"/>
      </w: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7" w:name="_Toc25120"/>
      <w:bookmarkStart w:id="128" w:name="_Toc3778"/>
      <w:bookmarkStart w:id="129" w:name="_Toc24623"/>
      <w:bookmarkStart w:id="130" w:name="_Toc5379"/>
      <w:bookmarkStart w:id="131" w:name="_Toc16330037"/>
      <w:r>
        <w:rPr>
          <w:rFonts w:hint="eastAsia" w:asciiTheme="minorEastAsia" w:hAnsiTheme="minorEastAsia" w:eastAsiaTheme="minorEastAsia" w:cstheme="minorEastAsia"/>
          <w:sz w:val="20"/>
          <w:szCs w:val="20"/>
        </w:rPr>
        <w:br w:type="page"/>
      </w:r>
    </w:p>
    <w:p>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7"/>
      <w:bookmarkEnd w:id="128"/>
      <w:bookmarkEnd w:id="129"/>
      <w:bookmarkEnd w:id="130"/>
      <w:bookmarkEnd w:id="131"/>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32" w:name="_Toc14341849"/>
    </w:p>
    <w:p>
      <w:pPr>
        <w:ind w:right="480"/>
        <w:jc w:val="center"/>
        <w:rPr>
          <w:sz w:val="24"/>
          <w:szCs w:val="24"/>
        </w:rPr>
      </w:pPr>
      <w:r>
        <w:rPr>
          <w:rFonts w:hint="eastAsia" w:ascii="楷体_GB2312" w:hAnsi="宋体" w:eastAsia="楷体_GB2312"/>
          <w:sz w:val="24"/>
        </w:rPr>
        <w:t xml:space="preserve">                                    </w:t>
      </w:r>
    </w:p>
    <w:bookmarkEnd w:id="132"/>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8"/>
    </w:p>
    <w:p>
      <w:pPr>
        <w:keepNext/>
        <w:keepLines/>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8"/>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3" w:name="_Toc639004"/>
      <w:bookmarkStart w:id="134" w:name="_Toc212369550"/>
      <w:bookmarkStart w:id="135" w:name="_Toc353881012"/>
      <w:bookmarkStart w:id="13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3"/>
      <w:bookmarkEnd w:id="134"/>
      <w:bookmarkEnd w:id="135"/>
      <w:bookmarkEnd w:id="13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r>
        <w:rPr>
          <w:rFonts w:hint="eastAsia" w:ascii="宋体" w:hAnsi="宋体" w:eastAsia="宋体" w:cs="Times New Roman"/>
          <w:b/>
          <w:bCs/>
          <w:color w:val="000000"/>
          <w:sz w:val="24"/>
          <w:szCs w:val="24"/>
        </w:rPr>
        <w:t>（CGZX2024010074）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1"/>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1"/>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1"/>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1"/>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14"/>
              <w:ind w:left="720"/>
            </w:pPr>
            <w:r>
              <w:t xml:space="preserve">品牌区分 </w:t>
            </w:r>
          </w:p>
        </w:tc>
        <w:tc>
          <w:tcPr>
            <w:tcW w:w="7500" w:type="dxa"/>
            <w:gridSpan w:val="6"/>
          </w:tcPr>
          <w:p>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1"/>
              <w:spacing w:before="15"/>
              <w:ind w:left="279"/>
            </w:pPr>
            <w:r>
              <w:rPr>
                <w:spacing w:val="-2"/>
              </w:rPr>
              <w:t>质量</w:t>
            </w:r>
            <w:r>
              <w:t xml:space="preserve"> </w:t>
            </w:r>
          </w:p>
          <w:p>
            <w:pPr>
              <w:pStyle w:val="131"/>
              <w:spacing w:before="30" w:line="277" w:lineRule="exact"/>
              <w:ind w:left="279"/>
            </w:pPr>
            <w:r>
              <w:rPr>
                <w:rFonts w:hint="eastAsia"/>
              </w:rPr>
              <w:t>体系</w:t>
            </w:r>
          </w:p>
        </w:tc>
        <w:tc>
          <w:tcPr>
            <w:tcW w:w="2820" w:type="dxa"/>
            <w:gridSpan w:val="2"/>
          </w:tcPr>
          <w:p>
            <w:pPr>
              <w:pStyle w:val="131"/>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1"/>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pStyle w:val="18"/>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471" w:type="dxa"/>
            <w:vAlign w:val="center"/>
          </w:tcPr>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主机电源柜</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3</w:t>
            </w:r>
          </w:p>
        </w:tc>
        <w:tc>
          <w:tcPr>
            <w:tcW w:w="2014" w:type="dxa"/>
            <w:vAlign w:val="center"/>
          </w:tcPr>
          <w:p>
            <w:pPr>
              <w:jc w:val="center"/>
              <w:rPr>
                <w:rFonts w:hint="default" w:ascii="宋体" w:hAnsi="宋体" w:eastAsia="宋体" w:cs="宋体"/>
                <w:lang w:val="en-US" w:eastAsia="zh-CN"/>
              </w:rPr>
            </w:pP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w:t>
            </w:r>
          </w:p>
        </w:tc>
        <w:tc>
          <w:tcPr>
            <w:tcW w:w="2471" w:type="dxa"/>
            <w:vAlign w:val="center"/>
          </w:tcPr>
          <w:p>
            <w:pPr>
              <w:spacing w:line="42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直流充电桩</w:t>
            </w:r>
          </w:p>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(液冷充电枪)</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6</w:t>
            </w:r>
          </w:p>
        </w:tc>
        <w:tc>
          <w:tcPr>
            <w:tcW w:w="2014" w:type="dxa"/>
            <w:vAlign w:val="center"/>
          </w:tcPr>
          <w:p>
            <w:pPr>
              <w:jc w:val="center"/>
              <w:rPr>
                <w:rFonts w:hint="default" w:ascii="宋体" w:hAnsi="宋体" w:eastAsia="宋体" w:cs="宋体"/>
                <w:lang w:val="en-US" w:eastAsia="zh-CN"/>
              </w:rPr>
            </w:pP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3</w:t>
            </w:r>
          </w:p>
        </w:tc>
        <w:tc>
          <w:tcPr>
            <w:tcW w:w="2471" w:type="dxa"/>
            <w:vAlign w:val="center"/>
          </w:tcPr>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pacing w:val="-1"/>
                <w:sz w:val="24"/>
                <w:szCs w:val="24"/>
                <w:highlight w:val="none"/>
                <w:lang w:eastAsia="zh-CN"/>
              </w:rPr>
              <w:t>充电运营管理云平台</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014" w:type="dxa"/>
            <w:vAlign w:val="center"/>
          </w:tcPr>
          <w:p>
            <w:pPr>
              <w:jc w:val="center"/>
              <w:rPr>
                <w:rFonts w:hint="default" w:ascii="宋体" w:hAnsi="宋体" w:eastAsia="宋体" w:cs="宋体"/>
                <w:lang w:val="en-US" w:eastAsia="zh-CN"/>
              </w:rPr>
            </w:pP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4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471" w:type="dxa"/>
          </w:tcPr>
          <w:p>
            <w:pPr>
              <w:rPr>
                <w:rFonts w:hint="eastAsia" w:ascii="宋体" w:hAnsi="宋体" w:eastAsia="宋体" w:cs="宋体"/>
              </w:rPr>
            </w:pPr>
            <w:r>
              <w:rPr>
                <w:rFonts w:hint="eastAsia" w:ascii="宋体" w:hAnsi="宋体" w:eastAsia="宋体" w:cs="宋体"/>
              </w:rPr>
              <w:t>以上投标设备不足之处请往下添加序号自行补充</w:t>
            </w:r>
          </w:p>
        </w:tc>
        <w:tc>
          <w:tcPr>
            <w:tcW w:w="2472" w:type="dxa"/>
          </w:tcPr>
          <w:p>
            <w:pPr>
              <w:rPr>
                <w:rFonts w:ascii="Arial"/>
              </w:rPr>
            </w:pPr>
          </w:p>
        </w:tc>
        <w:tc>
          <w:tcPr>
            <w:tcW w:w="1474" w:type="dxa"/>
          </w:tcPr>
          <w:p>
            <w:pPr>
              <w:rPr>
                <w:rFonts w:ascii="Arial"/>
              </w:rPr>
            </w:pPr>
          </w:p>
        </w:tc>
        <w:tc>
          <w:tcPr>
            <w:tcW w:w="2014" w:type="dxa"/>
          </w:tcPr>
          <w:p>
            <w:pPr>
              <w:rPr>
                <w:rFonts w:ascii="Arial"/>
              </w:rPr>
            </w:pPr>
          </w:p>
        </w:tc>
        <w:tc>
          <w:tcPr>
            <w:tcW w:w="2608" w:type="dxa"/>
            <w:tcBorders>
              <w:left w:val="single" w:color="000000" w:sz="4" w:space="0"/>
            </w:tcBorders>
          </w:tcPr>
          <w:p>
            <w:pPr>
              <w:rPr>
                <w:rFonts w:ascii="Arial"/>
              </w:rPr>
            </w:pPr>
          </w:p>
        </w:tc>
        <w:tc>
          <w:tcPr>
            <w:tcW w:w="1496"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rPr>
          <w:rFonts w:hint="default" w:eastAsia="宋体"/>
          <w:lang w:val="en-US" w:eastAsia="zh-CN"/>
        </w:rPr>
        <w:sectPr>
          <w:footerReference r:id="rId20"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20</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20</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val="en-US" w:eastAsia="zh-CN"/>
              </w:rPr>
              <w:t>1</w:t>
            </w:r>
          </w:p>
        </w:tc>
        <w:tc>
          <w:tcPr>
            <w:tcW w:w="1518" w:type="dxa"/>
            <w:vAlign w:val="center"/>
          </w:tcPr>
          <w:p>
            <w:pPr>
              <w:jc w:val="center"/>
              <w:rPr>
                <w:rFonts w:ascii="宋体" w:hAnsi="宋体" w:eastAsia="宋体" w:cs="Times New Roman"/>
                <w:b/>
                <w:bCs/>
                <w:color w:val="000000"/>
                <w:sz w:val="24"/>
                <w:szCs w:val="24"/>
                <w:u w:val="single"/>
              </w:rPr>
            </w:pP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3</w:t>
            </w:r>
            <w:r>
              <w:rPr>
                <w:rFonts w:hint="eastAsia" w:ascii="Times New Roman" w:hAnsi="Times New Roman" w:eastAsia="宋体" w:cs="Times New Roman"/>
                <w:b/>
                <w:szCs w:val="20"/>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1</w:t>
            </w:r>
          </w:p>
        </w:tc>
        <w:tc>
          <w:tcPr>
            <w:tcW w:w="2238" w:type="dxa"/>
            <w:vAlign w:val="center"/>
          </w:tcPr>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主机电源柜</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套</w:t>
            </w:r>
          </w:p>
        </w:tc>
        <w:tc>
          <w:tcPr>
            <w:tcW w:w="1120"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3</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pPr>
              <w:spacing w:line="42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直流充电桩</w:t>
            </w:r>
          </w:p>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(液冷充电枪)</w:t>
            </w:r>
          </w:p>
        </w:tc>
        <w:tc>
          <w:tcPr>
            <w:tcW w:w="2239" w:type="dxa"/>
          </w:tcPr>
          <w:p>
            <w:pPr>
              <w:rPr>
                <w:rFonts w:hint="eastAsia" w:ascii="宋体" w:hAnsi="宋体" w:eastAsia="宋体" w:cs="宋体"/>
                <w:sz w:val="24"/>
                <w:szCs w:val="24"/>
              </w:rPr>
            </w:pP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pPr>
              <w:spacing w:line="42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pacing w:val="-1"/>
                <w:sz w:val="24"/>
                <w:szCs w:val="24"/>
                <w:highlight w:val="none"/>
                <w:lang w:eastAsia="zh-CN"/>
              </w:rPr>
              <w:t>充电运营管理云平台</w:t>
            </w:r>
          </w:p>
        </w:tc>
        <w:tc>
          <w:tcPr>
            <w:tcW w:w="2239" w:type="dxa"/>
          </w:tcPr>
          <w:p>
            <w:pPr>
              <w:rPr>
                <w:rFonts w:hint="eastAsia" w:ascii="宋体" w:hAnsi="宋体" w:eastAsia="宋体" w:cs="宋体"/>
                <w:sz w:val="24"/>
                <w:szCs w:val="24"/>
              </w:rPr>
            </w:pP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20"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hint="eastAsia" w:ascii="宋体" w:hAnsi="宋体" w:eastAsia="宋体" w:cs="宋体"/>
              </w:rPr>
            </w:pPr>
            <w:r>
              <w:rPr>
                <w:rFonts w:hint="eastAsia" w:ascii="宋体" w:hAnsi="宋体" w:eastAsia="宋体" w:cs="宋体"/>
              </w:rPr>
              <w:t>以上投标设备不足之处请往下添加序号自行补充</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4" w:type="default"/>
          <w:pgSz w:w="16841" w:h="11907"/>
          <w:pgMar w:top="400" w:right="1699" w:bottom="1184" w:left="1481" w:header="0" w:footer="1022" w:gutter="0"/>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highlight w:val="yellow"/>
              </w:rPr>
            </w:pPr>
            <w:r>
              <w:rPr>
                <w:rFonts w:hint="eastAsia" w:ascii="宋体" w:hAnsi="宋体" w:eastAsia="宋体" w:cs="宋体"/>
                <w:spacing w:val="-2"/>
                <w:szCs w:val="21"/>
                <w:highlight w:val="yellow"/>
                <w:lang w:val="en-US" w:eastAsia="zh-CN"/>
              </w:rPr>
              <w:t>技术培训</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3</w:t>
            </w:r>
          </w:p>
        </w:tc>
        <w:tc>
          <w:tcPr>
            <w:tcW w:w="3625" w:type="dxa"/>
            <w:vAlign w:val="top"/>
          </w:tcPr>
          <w:p>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rPr>
              <w:t>设备资料电子版WORD或PDF版</w:t>
            </w:r>
          </w:p>
        </w:tc>
        <w:tc>
          <w:tcPr>
            <w:tcW w:w="1126" w:type="dxa"/>
            <w:vAlign w:val="top"/>
          </w:tcPr>
          <w:p>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含</w:t>
            </w:r>
            <w:r>
              <w:rPr>
                <w:rFonts w:hint="eastAsia" w:ascii="宋体" w:hAnsi="宋体" w:eastAsia="宋体" w:cs="宋体"/>
                <w:sz w:val="24"/>
              </w:rPr>
              <w:t>设备使用说明书</w:t>
            </w:r>
            <w:r>
              <w:rPr>
                <w:rFonts w:hint="eastAsia" w:ascii="宋体" w:hAnsi="宋体" w:eastAsia="宋体" w:cs="宋体"/>
                <w:sz w:val="24"/>
                <w:lang w:eastAsia="zh-CN"/>
              </w:rPr>
              <w:t>、</w:t>
            </w:r>
            <w:r>
              <w:rPr>
                <w:rFonts w:hint="eastAsia" w:ascii="宋体" w:hAnsi="宋体" w:eastAsia="宋体" w:cs="宋体"/>
                <w:sz w:val="24"/>
              </w:rPr>
              <w:t>系统软硬件清单</w:t>
            </w:r>
            <w:r>
              <w:rPr>
                <w:rFonts w:hint="eastAsia" w:ascii="宋体" w:hAnsi="宋体" w:eastAsia="宋体" w:cs="宋体"/>
                <w:sz w:val="24"/>
                <w:lang w:eastAsia="zh-CN"/>
              </w:rPr>
              <w:t>、</w:t>
            </w:r>
            <w:r>
              <w:rPr>
                <w:rFonts w:hint="eastAsia" w:ascii="宋体" w:hAnsi="宋体" w:eastAsia="宋体" w:cs="宋体"/>
                <w:sz w:val="24"/>
              </w:rPr>
              <w:t>技术培训资料</w:t>
            </w:r>
            <w:r>
              <w:rPr>
                <w:rFonts w:hint="eastAsia" w:ascii="宋体" w:hAnsi="宋体" w:eastAsia="宋体" w:cs="宋体"/>
                <w:sz w:val="24"/>
                <w:lang w:eastAsia="zh-CN"/>
              </w:rPr>
              <w:t>、</w:t>
            </w:r>
            <w:r>
              <w:rPr>
                <w:rFonts w:hint="eastAsia" w:ascii="宋体" w:hAnsi="宋体" w:eastAsia="宋体" w:cs="宋体"/>
                <w:sz w:val="24"/>
              </w:rPr>
              <w:t>测试报告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6" w:line="182" w:lineRule="auto"/>
              <w:jc w:val="center"/>
              <w:rPr>
                <w:rFonts w:ascii="宋体" w:hAnsi="宋体" w:eastAsia="宋体" w:cs="宋体"/>
                <w:szCs w:val="21"/>
              </w:rPr>
            </w:pPr>
            <w:r>
              <w:rPr>
                <w:rFonts w:hint="eastAsia" w:ascii="宋体" w:hAnsi="宋体" w:eastAsia="宋体" w:cs="宋体"/>
                <w:szCs w:val="21"/>
                <w:lang w:val="en-US" w:eastAsia="zh-CN"/>
              </w:rPr>
              <w:t>4</w:t>
            </w:r>
          </w:p>
        </w:tc>
        <w:tc>
          <w:tcPr>
            <w:tcW w:w="3625" w:type="dxa"/>
            <w:vAlign w:val="top"/>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7"/>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7"/>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18"/>
        <w:rPr>
          <w:rFonts w:hAnsi="宋体" w:eastAsia="宋体" w:cs="宋体"/>
          <w:sz w:val="24"/>
          <w:szCs w:val="24"/>
        </w:rPr>
      </w:pPr>
    </w:p>
    <w:p>
      <w:pPr>
        <w:pStyle w:val="18"/>
        <w:rPr>
          <w:rFonts w:hAnsi="宋体" w:eastAsia="宋体" w:cs="宋体"/>
          <w:sz w:val="24"/>
          <w:szCs w:val="24"/>
        </w:rPr>
      </w:pP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18"/>
        <w:rPr>
          <w:rFonts w:hAnsi="宋体" w:eastAsia="宋体" w:cs="宋体"/>
          <w:sz w:val="24"/>
          <w:szCs w:val="24"/>
        </w:rPr>
        <w:sectPr>
          <w:footerReference r:id="rId27"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新能源产品试验检测中心充电桩</w:t>
            </w:r>
            <w:r>
              <w:rPr>
                <w:rFonts w:hint="eastAsia" w:ascii="宋体" w:hAnsi="宋体" w:eastAsia="宋体" w:cs="宋体"/>
                <w:b/>
                <w:bCs/>
                <w:sz w:val="24"/>
                <w:szCs w:val="24"/>
                <w:highlight w:val="none"/>
                <w:u w:val="single"/>
              </w:rPr>
              <w:t>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7"/>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650"/>
        <w:gridCol w:w="561"/>
        <w:gridCol w:w="1411"/>
        <w:gridCol w:w="959"/>
        <w:gridCol w:w="10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4"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219"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189"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475"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23"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538"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4" w:type="pct"/>
            <w:vMerge w:val="restart"/>
            <w:vAlign w:val="center"/>
          </w:tcPr>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219" w:type="pct"/>
            <w:vAlign w:val="center"/>
          </w:tcPr>
          <w:p>
            <w:pPr>
              <w:tabs>
                <w:tab w:val="left" w:pos="13965"/>
              </w:tabs>
              <w:spacing w:line="240" w:lineRule="auto"/>
              <w:jc w:val="center"/>
              <w:rPr>
                <w:rFonts w:ascii="宋体" w:hAnsi="宋体" w:eastAsia="宋体" w:cs="宋体"/>
                <w:sz w:val="18"/>
                <w:szCs w:val="18"/>
              </w:rPr>
            </w:pPr>
            <w:r>
              <w:rPr>
                <w:rFonts w:hint="eastAsia" w:ascii="宋体" w:hAnsi="宋体" w:eastAsia="宋体" w:cs="宋体"/>
                <w:sz w:val="18"/>
                <w:szCs w:val="18"/>
              </w:rPr>
              <w:t>业绩</w:t>
            </w:r>
          </w:p>
        </w:tc>
        <w:tc>
          <w:tcPr>
            <w:tcW w:w="189" w:type="pct"/>
            <w:vAlign w:val="center"/>
          </w:tcPr>
          <w:p>
            <w:pPr>
              <w:tabs>
                <w:tab w:val="left" w:pos="13965"/>
              </w:tabs>
              <w:spacing w:line="240" w:lineRule="auto"/>
              <w:jc w:val="center"/>
              <w:rPr>
                <w:rFonts w:ascii="宋体" w:hAnsi="宋体" w:eastAsia="宋体" w:cs="宋体"/>
                <w:sz w:val="18"/>
                <w:szCs w:val="18"/>
              </w:rPr>
            </w:pPr>
            <w:r>
              <w:rPr>
                <w:rFonts w:hint="eastAsia" w:ascii="宋体" w:hAnsi="宋体" w:eastAsia="宋体" w:cs="宋体"/>
                <w:sz w:val="18"/>
                <w:szCs w:val="18"/>
              </w:rPr>
              <w:t>1</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技术参数</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40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产品技术</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2</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核心产品</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3</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关键部件技术支持资料</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答疑</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4</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现场答疑</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技术偏离</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5</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技术偏离</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12</w:t>
            </w:r>
          </w:p>
        </w:tc>
        <w:tc>
          <w:tcPr>
            <w:tcW w:w="3538"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售后服务</w:t>
            </w: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技术培训方案</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38"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7</w:t>
            </w:r>
          </w:p>
        </w:tc>
        <w:tc>
          <w:tcPr>
            <w:tcW w:w="475" w:type="pct"/>
            <w:shd w:val="clear" w:color="auto" w:fill="auto"/>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专业技术力量</w:t>
            </w:r>
          </w:p>
        </w:tc>
        <w:tc>
          <w:tcPr>
            <w:tcW w:w="323" w:type="pct"/>
            <w:shd w:val="clear" w:color="auto" w:fill="auto"/>
            <w:vAlign w:val="center"/>
          </w:tcPr>
          <w:p>
            <w:pPr>
              <w:spacing w:line="240" w:lineRule="auto"/>
              <w:jc w:val="center"/>
              <w:rPr>
                <w:rFonts w:ascii="宋体" w:hAnsi="宋体" w:eastAsia="宋体" w:cs="宋体"/>
                <w:sz w:val="18"/>
                <w:szCs w:val="18"/>
              </w:rPr>
            </w:pPr>
            <w:r>
              <w:rPr>
                <w:rFonts w:hint="eastAsia" w:ascii="宋体" w:hAnsi="宋体" w:eastAsia="宋体" w:cs="宋体"/>
                <w:bCs/>
                <w:sz w:val="18"/>
                <w:szCs w:val="18"/>
              </w:rPr>
              <w:t>6</w:t>
            </w:r>
          </w:p>
        </w:tc>
        <w:tc>
          <w:tcPr>
            <w:tcW w:w="3538" w:type="pct"/>
            <w:shd w:val="clear" w:color="auto" w:fill="auto"/>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4" w:type="pct"/>
            <w:vMerge w:val="continue"/>
            <w:vAlign w:val="center"/>
          </w:tcPr>
          <w:p>
            <w:pPr>
              <w:spacing w:line="240" w:lineRule="auto"/>
              <w:jc w:val="center"/>
              <w:rPr>
                <w:rFonts w:ascii="宋体" w:hAnsi="宋体" w:eastAsia="宋体" w:cs="宋体"/>
                <w:sz w:val="18"/>
                <w:szCs w:val="18"/>
              </w:rPr>
            </w:pPr>
          </w:p>
        </w:tc>
        <w:tc>
          <w:tcPr>
            <w:tcW w:w="219" w:type="pct"/>
            <w:vMerge w:val="continue"/>
            <w:vAlign w:val="center"/>
          </w:tcPr>
          <w:p>
            <w:pPr>
              <w:spacing w:line="240" w:lineRule="auto"/>
              <w:jc w:val="center"/>
              <w:rPr>
                <w:rFonts w:ascii="宋体" w:hAnsi="宋体" w:eastAsia="宋体" w:cs="宋体"/>
                <w:sz w:val="18"/>
                <w:szCs w:val="18"/>
              </w:rPr>
            </w:pPr>
          </w:p>
        </w:tc>
        <w:tc>
          <w:tcPr>
            <w:tcW w:w="189"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8</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38"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pStyle w:val="18"/>
        <w:outlineLvl w:val="2"/>
        <w:rPr>
          <w:rFonts w:hAnsi="宋体" w:eastAsia="宋体" w:cs="宋体"/>
          <w:b/>
          <w:bCs/>
          <w:color w:val="000000"/>
          <w:sz w:val="24"/>
          <w:szCs w:val="24"/>
        </w:rPr>
        <w:sectPr>
          <w:footerReference r:id="rId28" w:type="default"/>
          <w:pgSz w:w="16838" w:h="11906" w:orient="landscape"/>
          <w:pgMar w:top="1417" w:right="1588" w:bottom="1417" w:left="1134" w:header="851" w:footer="992" w:gutter="0"/>
          <w:cols w:space="0" w:num="1"/>
          <w:titlePg/>
          <w:docGrid w:type="lines" w:linePitch="312" w:charSpace="0"/>
        </w:sectPr>
      </w:pPr>
    </w:p>
    <w:p>
      <w:pPr>
        <w:pStyle w:val="18"/>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18"/>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8"/>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45"/>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http://ecaitong.sinotruk.com:8012/</w:t>
      </w:r>
      <w:r>
        <w:rPr>
          <w:rStyle w:val="45"/>
          <w:rFonts w:hint="eastAsia" w:ascii="宋体" w:hAnsi="宋体" w:eastAsia="宋体" w:cs="宋体"/>
          <w:sz w:val="24"/>
          <w:szCs w:val="24"/>
        </w:rPr>
        <w:fldChar w:fldCharType="end"/>
      </w:r>
      <w:r>
        <w:rPr>
          <w:rStyle w:val="45"/>
          <w:rFonts w:hint="eastAsia" w:ascii="宋体" w:hAnsi="宋体" w:eastAsia="宋体" w:cs="宋体"/>
          <w:sz w:val="24"/>
          <w:szCs w:val="24"/>
        </w:rPr>
        <w:t>（以下内容可能非最新版本，仅供参考，请登录系统网址后，点检查看最新版供应商手册）</w:t>
      </w:r>
    </w:p>
    <w:p>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8"/>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6"/>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42921B6"/>
    <w:rsid w:val="04AD02B8"/>
    <w:rsid w:val="04DF17D4"/>
    <w:rsid w:val="05412745"/>
    <w:rsid w:val="05491761"/>
    <w:rsid w:val="05A351AD"/>
    <w:rsid w:val="05C234EE"/>
    <w:rsid w:val="05D95918"/>
    <w:rsid w:val="05F9748A"/>
    <w:rsid w:val="06032214"/>
    <w:rsid w:val="060B4B7B"/>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BA1FBB"/>
    <w:rsid w:val="09CB139F"/>
    <w:rsid w:val="0A0106F5"/>
    <w:rsid w:val="0A112AB7"/>
    <w:rsid w:val="0AD71BC7"/>
    <w:rsid w:val="0ADB7197"/>
    <w:rsid w:val="0AF420EB"/>
    <w:rsid w:val="0B2B2BF5"/>
    <w:rsid w:val="0B2F3908"/>
    <w:rsid w:val="0B3F6206"/>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6181FAC"/>
    <w:rsid w:val="166050EB"/>
    <w:rsid w:val="168756A0"/>
    <w:rsid w:val="16F94849"/>
    <w:rsid w:val="17045E51"/>
    <w:rsid w:val="172011D4"/>
    <w:rsid w:val="17252C3B"/>
    <w:rsid w:val="173F0A2E"/>
    <w:rsid w:val="17770BC2"/>
    <w:rsid w:val="17860E2F"/>
    <w:rsid w:val="17A119AA"/>
    <w:rsid w:val="17AF1095"/>
    <w:rsid w:val="18586F2B"/>
    <w:rsid w:val="192F3CC4"/>
    <w:rsid w:val="1935690C"/>
    <w:rsid w:val="19A766B9"/>
    <w:rsid w:val="19BE4F9F"/>
    <w:rsid w:val="19CE76BA"/>
    <w:rsid w:val="19F26070"/>
    <w:rsid w:val="19F97C8B"/>
    <w:rsid w:val="1A1523CE"/>
    <w:rsid w:val="1A21343D"/>
    <w:rsid w:val="1AA730BD"/>
    <w:rsid w:val="1B333D5D"/>
    <w:rsid w:val="1B587618"/>
    <w:rsid w:val="1B5F19C7"/>
    <w:rsid w:val="1C1C709B"/>
    <w:rsid w:val="1C9F6814"/>
    <w:rsid w:val="1D5C514E"/>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6356D1"/>
    <w:rsid w:val="23A91C83"/>
    <w:rsid w:val="23C962E8"/>
    <w:rsid w:val="247E4FED"/>
    <w:rsid w:val="24B30BE8"/>
    <w:rsid w:val="24C6643F"/>
    <w:rsid w:val="24E34060"/>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6903EF"/>
    <w:rsid w:val="287F5DD3"/>
    <w:rsid w:val="288047CB"/>
    <w:rsid w:val="289E62FA"/>
    <w:rsid w:val="291E2CA6"/>
    <w:rsid w:val="29331862"/>
    <w:rsid w:val="299E147F"/>
    <w:rsid w:val="29C32A87"/>
    <w:rsid w:val="29CF26DC"/>
    <w:rsid w:val="2A1C5DA0"/>
    <w:rsid w:val="2A200D39"/>
    <w:rsid w:val="2A507EFF"/>
    <w:rsid w:val="2ADC05A4"/>
    <w:rsid w:val="2B6F0D7F"/>
    <w:rsid w:val="2B797443"/>
    <w:rsid w:val="2B8716BD"/>
    <w:rsid w:val="2B8B76FF"/>
    <w:rsid w:val="2BD5034F"/>
    <w:rsid w:val="2C0B6845"/>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8E070F2"/>
    <w:rsid w:val="390B0AC4"/>
    <w:rsid w:val="390D33AB"/>
    <w:rsid w:val="391E6D06"/>
    <w:rsid w:val="39CE5179"/>
    <w:rsid w:val="3A074847"/>
    <w:rsid w:val="3AA90FE6"/>
    <w:rsid w:val="3AA9318F"/>
    <w:rsid w:val="3AB62DA0"/>
    <w:rsid w:val="3AC61BD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250817"/>
    <w:rsid w:val="44905B1F"/>
    <w:rsid w:val="45007767"/>
    <w:rsid w:val="45316885"/>
    <w:rsid w:val="45A95EE9"/>
    <w:rsid w:val="45FB0F21"/>
    <w:rsid w:val="46167166"/>
    <w:rsid w:val="461A2194"/>
    <w:rsid w:val="465E515F"/>
    <w:rsid w:val="47200EE3"/>
    <w:rsid w:val="47435AC2"/>
    <w:rsid w:val="47544B78"/>
    <w:rsid w:val="47587AF7"/>
    <w:rsid w:val="47745A86"/>
    <w:rsid w:val="47E239AC"/>
    <w:rsid w:val="480F4B73"/>
    <w:rsid w:val="48DB38E3"/>
    <w:rsid w:val="49001B5E"/>
    <w:rsid w:val="490552B7"/>
    <w:rsid w:val="49376DB0"/>
    <w:rsid w:val="49804BB7"/>
    <w:rsid w:val="49826DCB"/>
    <w:rsid w:val="499013E7"/>
    <w:rsid w:val="49C8088A"/>
    <w:rsid w:val="4A301C93"/>
    <w:rsid w:val="4A3302AB"/>
    <w:rsid w:val="4A7F3A12"/>
    <w:rsid w:val="4AC85D49"/>
    <w:rsid w:val="4AE308A9"/>
    <w:rsid w:val="4B294DDA"/>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FB4092"/>
    <w:rsid w:val="55326D63"/>
    <w:rsid w:val="555D1A10"/>
    <w:rsid w:val="55CE2B4A"/>
    <w:rsid w:val="56AC4A78"/>
    <w:rsid w:val="56DB16B9"/>
    <w:rsid w:val="574436DA"/>
    <w:rsid w:val="577A3463"/>
    <w:rsid w:val="57F967AD"/>
    <w:rsid w:val="58052975"/>
    <w:rsid w:val="58E525CA"/>
    <w:rsid w:val="593D045A"/>
    <w:rsid w:val="5960739E"/>
    <w:rsid w:val="59896D0A"/>
    <w:rsid w:val="59B72684"/>
    <w:rsid w:val="59CC6E29"/>
    <w:rsid w:val="59CE7D0B"/>
    <w:rsid w:val="5A9579AE"/>
    <w:rsid w:val="5AC468CD"/>
    <w:rsid w:val="5B342B9A"/>
    <w:rsid w:val="5B5953B0"/>
    <w:rsid w:val="5B5B1AB4"/>
    <w:rsid w:val="5B630802"/>
    <w:rsid w:val="5B807F68"/>
    <w:rsid w:val="5BFB631F"/>
    <w:rsid w:val="5C034D53"/>
    <w:rsid w:val="5C903B7A"/>
    <w:rsid w:val="5E1D6F56"/>
    <w:rsid w:val="5E52187F"/>
    <w:rsid w:val="5E6A13CD"/>
    <w:rsid w:val="5E705D15"/>
    <w:rsid w:val="5E92274E"/>
    <w:rsid w:val="5E93326C"/>
    <w:rsid w:val="5E9F1A7A"/>
    <w:rsid w:val="5EFB4BA4"/>
    <w:rsid w:val="5F5F46B5"/>
    <w:rsid w:val="5F895CFD"/>
    <w:rsid w:val="5FB25360"/>
    <w:rsid w:val="5FBA3CC0"/>
    <w:rsid w:val="5FD90D61"/>
    <w:rsid w:val="60177697"/>
    <w:rsid w:val="602329DB"/>
    <w:rsid w:val="602C13CC"/>
    <w:rsid w:val="607777D6"/>
    <w:rsid w:val="60911000"/>
    <w:rsid w:val="60BC76A1"/>
    <w:rsid w:val="610B7637"/>
    <w:rsid w:val="615F5624"/>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6B2909"/>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E72DF"/>
    <w:rsid w:val="692E2EB0"/>
    <w:rsid w:val="69485FEA"/>
    <w:rsid w:val="694C7BCA"/>
    <w:rsid w:val="69677DC0"/>
    <w:rsid w:val="69937EC7"/>
    <w:rsid w:val="69D64558"/>
    <w:rsid w:val="6A042548"/>
    <w:rsid w:val="6A471EFD"/>
    <w:rsid w:val="6A90616B"/>
    <w:rsid w:val="6AB57116"/>
    <w:rsid w:val="6AE73176"/>
    <w:rsid w:val="6B17424A"/>
    <w:rsid w:val="6B2218FA"/>
    <w:rsid w:val="6B691672"/>
    <w:rsid w:val="6BC8641A"/>
    <w:rsid w:val="6BE97F42"/>
    <w:rsid w:val="6C5E6A51"/>
    <w:rsid w:val="6C6513C3"/>
    <w:rsid w:val="6C744268"/>
    <w:rsid w:val="6CD62D03"/>
    <w:rsid w:val="6CD97FB6"/>
    <w:rsid w:val="6D4B22B8"/>
    <w:rsid w:val="6D930013"/>
    <w:rsid w:val="6E1A1656"/>
    <w:rsid w:val="6E231DD6"/>
    <w:rsid w:val="6E5A5288"/>
    <w:rsid w:val="6EE013EE"/>
    <w:rsid w:val="6EE079F1"/>
    <w:rsid w:val="6EE42C42"/>
    <w:rsid w:val="6F7F7CB0"/>
    <w:rsid w:val="6FE0165C"/>
    <w:rsid w:val="6FE6309C"/>
    <w:rsid w:val="6FF0551E"/>
    <w:rsid w:val="70222744"/>
    <w:rsid w:val="706D2B21"/>
    <w:rsid w:val="707B1384"/>
    <w:rsid w:val="70857A34"/>
    <w:rsid w:val="70985D3C"/>
    <w:rsid w:val="71047C73"/>
    <w:rsid w:val="7109004F"/>
    <w:rsid w:val="71103167"/>
    <w:rsid w:val="712E56F7"/>
    <w:rsid w:val="71642194"/>
    <w:rsid w:val="71691ABB"/>
    <w:rsid w:val="71AE1AEA"/>
    <w:rsid w:val="71CF3B6C"/>
    <w:rsid w:val="71F80F33"/>
    <w:rsid w:val="722922C6"/>
    <w:rsid w:val="728121EC"/>
    <w:rsid w:val="732D4B5D"/>
    <w:rsid w:val="73393C88"/>
    <w:rsid w:val="7362513F"/>
    <w:rsid w:val="7372081D"/>
    <w:rsid w:val="73740A39"/>
    <w:rsid w:val="73771D49"/>
    <w:rsid w:val="73A1354E"/>
    <w:rsid w:val="74A11E7D"/>
    <w:rsid w:val="74B25745"/>
    <w:rsid w:val="74F97739"/>
    <w:rsid w:val="75590B0A"/>
    <w:rsid w:val="7582279F"/>
    <w:rsid w:val="75843EB5"/>
    <w:rsid w:val="75BB71AF"/>
    <w:rsid w:val="75F01962"/>
    <w:rsid w:val="760E19DF"/>
    <w:rsid w:val="761B75CE"/>
    <w:rsid w:val="76676A53"/>
    <w:rsid w:val="76B620A1"/>
    <w:rsid w:val="76F20814"/>
    <w:rsid w:val="77462524"/>
    <w:rsid w:val="7754544E"/>
    <w:rsid w:val="77A21064"/>
    <w:rsid w:val="77E34EB2"/>
    <w:rsid w:val="781564B8"/>
    <w:rsid w:val="78224ACF"/>
    <w:rsid w:val="788A2AAC"/>
    <w:rsid w:val="78CD6DCC"/>
    <w:rsid w:val="78D07CAF"/>
    <w:rsid w:val="78DE12D7"/>
    <w:rsid w:val="78FC2038"/>
    <w:rsid w:val="78FC33D7"/>
    <w:rsid w:val="79210683"/>
    <w:rsid w:val="799C3465"/>
    <w:rsid w:val="79B14EC4"/>
    <w:rsid w:val="79BE1ECC"/>
    <w:rsid w:val="79C95345"/>
    <w:rsid w:val="7A2A6B4A"/>
    <w:rsid w:val="7A681070"/>
    <w:rsid w:val="7A860C7C"/>
    <w:rsid w:val="7AB879FE"/>
    <w:rsid w:val="7B3264DD"/>
    <w:rsid w:val="7B7374F2"/>
    <w:rsid w:val="7B81188A"/>
    <w:rsid w:val="7B9E2902"/>
    <w:rsid w:val="7BC854E2"/>
    <w:rsid w:val="7C0562EC"/>
    <w:rsid w:val="7C27683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7"/>
    <w:qFormat/>
    <w:uiPriority w:val="9"/>
    <w:pPr>
      <w:keepNext/>
      <w:keepLines/>
      <w:jc w:val="center"/>
      <w:outlineLvl w:val="0"/>
    </w:pPr>
    <w:rPr>
      <w:b/>
      <w:bCs/>
      <w:kern w:val="44"/>
      <w:sz w:val="36"/>
      <w:szCs w:val="44"/>
    </w:rPr>
  </w:style>
  <w:style w:type="paragraph" w:styleId="5">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0"/>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1"/>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79"/>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2"/>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3"/>
    <w:next w:val="13"/>
    <w:link w:val="52"/>
    <w:qFormat/>
    <w:uiPriority w:val="0"/>
    <w:rPr>
      <w:b/>
    </w:rPr>
  </w:style>
  <w:style w:type="paragraph" w:styleId="36">
    <w:name w:val="Body Text First Indent 2"/>
    <w:basedOn w:val="15"/>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Char"/>
    <w:basedOn w:val="39"/>
    <w:link w:val="3"/>
    <w:qFormat/>
    <w:uiPriority w:val="9"/>
    <w:rPr>
      <w:rFonts w:ascii="Calibri" w:hAnsi="Calibri" w:eastAsia="宋体" w:cs="Times New Roman"/>
      <w:b/>
      <w:bCs/>
      <w:kern w:val="44"/>
      <w:sz w:val="36"/>
      <w:szCs w:val="44"/>
    </w:rPr>
  </w:style>
  <w:style w:type="character" w:customStyle="1" w:styleId="48">
    <w:name w:val="标题 2 Char"/>
    <w:basedOn w:val="39"/>
    <w:link w:val="5"/>
    <w:qFormat/>
    <w:uiPriority w:val="9"/>
    <w:rPr>
      <w:rFonts w:ascii="Arial" w:hAnsi="Arial" w:eastAsia="宋体" w:cs="Times New Roman"/>
      <w:b/>
      <w:bCs/>
      <w:sz w:val="24"/>
      <w:szCs w:val="32"/>
    </w:rPr>
  </w:style>
  <w:style w:type="character" w:customStyle="1" w:styleId="49">
    <w:name w:val="标题 3 Char"/>
    <w:basedOn w:val="39"/>
    <w:link w:val="6"/>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Char"/>
    <w:link w:val="21"/>
    <w:qFormat/>
    <w:locked/>
    <w:uiPriority w:val="0"/>
  </w:style>
  <w:style w:type="character" w:customStyle="1" w:styleId="52">
    <w:name w:val="批注主题 Char1"/>
    <w:link w:val="35"/>
    <w:qFormat/>
    <w:locked/>
    <w:uiPriority w:val="0"/>
    <w:rPr>
      <w:b/>
    </w:rPr>
  </w:style>
  <w:style w:type="character" w:customStyle="1" w:styleId="53">
    <w:name w:val="正文文本缩进 3 Char"/>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Char"/>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3"/>
    <w:qFormat/>
    <w:locked/>
    <w:uiPriority w:val="0"/>
  </w:style>
  <w:style w:type="character" w:customStyle="1" w:styleId="62">
    <w:name w:val="标题 Char"/>
    <w:link w:val="34"/>
    <w:qFormat/>
    <w:locked/>
    <w:uiPriority w:val="0"/>
    <w:rPr>
      <w:rFonts w:ascii="Arial" w:hAnsi="Arial"/>
      <w:b/>
      <w:sz w:val="32"/>
    </w:rPr>
  </w:style>
  <w:style w:type="character" w:customStyle="1" w:styleId="63">
    <w:name w:val="日期 Char"/>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11"/>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8"/>
    <w:qFormat/>
    <w:locked/>
    <w:uiPriority w:val="0"/>
    <w:rPr>
      <w:rFonts w:ascii="宋体" w:hAnsi="Courier New"/>
    </w:rPr>
  </w:style>
  <w:style w:type="character" w:customStyle="1" w:styleId="73">
    <w:name w:val="页脚 Char1"/>
    <w:link w:val="23"/>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Char"/>
    <w:basedOn w:val="39"/>
    <w:link w:val="15"/>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Char"/>
    <w:basedOn w:val="39"/>
    <w:link w:val="2"/>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8"/>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5"/>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6"/>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3"/>
    <w:qFormat/>
    <w:uiPriority w:val="0"/>
    <w:rPr>
      <w:rFonts w:eastAsia="黑体"/>
      <w:b w:val="0"/>
      <w:color w:val="000000"/>
      <w:sz w:val="30"/>
      <w:szCs w:val="24"/>
    </w:rPr>
  </w:style>
  <w:style w:type="paragraph" w:customStyle="1" w:styleId="133">
    <w:name w:val="首行缩进"/>
    <w:basedOn w:val="1"/>
    <w:qFormat/>
    <w:uiPriority w:val="0"/>
    <w:pPr>
      <w:ind w:firstLine="480" w:firstLineChars="200"/>
    </w:pPr>
    <w:rPr>
      <w:lang w:val="zh-CN"/>
    </w:rPr>
  </w:style>
  <w:style w:type="paragraph" w:customStyle="1" w:styleId="134">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5">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6">
    <w:name w:val="正文表标题"/>
    <w:next w:val="135"/>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7">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38666</Words>
  <Characters>41142</Characters>
  <Lines>335</Lines>
  <Paragraphs>94</Paragraphs>
  <TotalTime>0</TotalTime>
  <ScaleCrop>false</ScaleCrop>
  <LinksUpToDate>false</LinksUpToDate>
  <CharactersWithSpaces>47665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2024-01-15T02:03:46Z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ED02EB12B8294FE5807EAA5D2C3C24E0</vt:lpwstr>
  </property>
</Properties>
</file>